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6.png" ContentType="image/png"/>
  <Override PartName="/word/media/rId30.png" ContentType="image/png"/>
  <Override PartName="/word/media/rId31.png" ContentType="image/png"/>
  <Override PartName="/word/media/rId32.png" ContentType="image/png"/>
  <Override PartName="/word/media/rId39.png" ContentType="image/png"/>
  <Override PartName="/word/media/rId40.png" ContentType="image/png"/>
  <Override PartName="/word/media/rId4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5</w:t>
      </w:r>
      <w:r>
        <w:t xml:space="preserve">,</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Ecology and Evolutionary Biology, UCLA, Los Angeles, CA 90039,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183</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495</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can experience elevated leaf temperature (</w:t>
      </w:r>
      <m:oMath>
        <m:sSub>
          <m:e>
            <m:r>
              <m:t>T</m:t>
            </m:r>
          </m:e>
          <m:sub>
            <m:r>
              <m:t>l</m:t>
            </m:r>
            <m:r>
              <m:t>e</m:t>
            </m:r>
            <m:r>
              <m:t>a</m:t>
            </m:r>
            <m:r>
              <m:t>f</m:t>
            </m:r>
          </m:sub>
        </m:sSub>
      </m:oMath>
      <w:r>
        <w:t xml:space="preserve">), particularly when transpirational cooling is curtailed by limited stomatal conductance. However, foliar traits that also vary strongly across height or light gradients can partially mitigate the elevation of</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r>
        <w:br w:type="page"/>
      </w:r>
    </w:p>
    <w:bookmarkEnd w:id="21"/>
    <w:bookmarkStart w:id="23" w:name="introduction"/>
    <w:p>
      <w:pPr>
        <w:pStyle w:val="Heading1"/>
      </w:pPr>
      <w:r>
        <w:t xml:space="preserve">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w:r>
        <w:t xml:space="preserve"> </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w:r>
        <w:t xml:space="preserve"> </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metabolism and gas exchange, including stomatal conductance, photosynthesis, respiration, and volatile organic compound (VOC) production; and</w:t>
      </w:r>
      <w:r>
        <w:t xml:space="preserve"> </w:t>
      </w:r>
      <w:r>
        <w:t xml:space="preserve">(5) whole-tree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950922"/>
            <wp:effectExtent b="0" l="0" r="0" t="0"/>
            <wp:docPr descr="Figure 1. Schematic summarizing vertical gradients in forests according to (1) biophysical environment, (2) leaf temperature (T_{leaf}), (3) leaf traits, (4) leaf metabolism, and (5) whole-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95092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whole-tree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329" w:name="review-of-vertical-gradients"/>
    <w:p>
      <w:pPr>
        <w:pStyle w:val="Heading1"/>
      </w:pPr>
      <w:r>
        <w:t xml:space="preserve">Review of vertical gradients</w:t>
      </w:r>
    </w:p>
    <w:bookmarkStart w:id="25" w:name="the-biophysical-environment"/>
    <w:p>
      <w:pPr>
        <w:pStyle w:val="Heading2"/>
      </w:pPr>
      <w:r>
        <w:t xml:space="preserve">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a) leaf area density, (b) proportion of sun leaves, (c) proportion light incident at the top of the canopy during the growing season, and for July mean ± 1 standard deviation for (d) maximum photosynthetically active radiation (PAR), (e) maximum wind speed, (f) minimum humidity, (g) maximum T_{air}, and (h) maximum biological temperature, T_{bio}.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(a) leaf area density, (b) proportion of sun leaves, (c) proportion light incident at the top of the canopy during the growing season, and for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(LAD;</w:t>
      </w:r>
      <w:r>
        <w:t xml:space="preserve">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LAD in the upper canopy layers, but understory LAD is often relatively high in the understory as well, sometimes with undulating patterns</w:t>
      </w:r>
      <w:r>
        <w:t xml:space="preserve"> </w:t>
      </w:r>
      <w:r>
        <w:t xml:space="preserve">(e.g., SCBI, SERC and HARV, Fig. 2a, Ashton &amp; Hall, 1992; Koike &amp; Syahbuddin, 1993)</w:t>
      </w:r>
      <w:r>
        <w:t xml:space="preserve"> </w:t>
      </w:r>
      <w:r>
        <w:rPr>
          <w:iCs/>
          <w:i/>
        </w:rPr>
        <w:t xml:space="preserve">(Terborgh, 1985; Parker</w:t>
      </w:r>
      <w:r>
        <w:rPr>
          <w:iCs/>
          <w:i/>
        </w:rPr>
        <w:t xml:space="preserve"> </w:t>
      </w:r>
      <w:r>
        <w:rPr>
          <w:iCs/>
          <w:i/>
          <w:iCs/>
          <w:i/>
        </w:rPr>
        <w:t xml:space="preserve">et al.</w:t>
      </w:r>
      <w:r>
        <w:rPr>
          <w:iCs/>
          <w:i/>
        </w:rPr>
        <w:t xml:space="preserve">, 1989, 2002; Ishii</w:t>
      </w:r>
      <w:r>
        <w:rPr>
          <w:iCs/>
          <w:i/>
        </w:rPr>
        <w:t xml:space="preserve"> </w:t>
      </w:r>
      <w:r>
        <w:rPr>
          <w:iCs/>
          <w:i/>
          <w:iCs/>
          <w:i/>
        </w:rPr>
        <w:t xml:space="preserve">et al.</w:t>
      </w:r>
      <w:r>
        <w:rPr>
          <w:iCs/>
          <w:i/>
        </w:rPr>
        <w:t xml:space="preserve">, 2004)</w:t>
      </w:r>
      <w:r>
        <w:t xml:space="preserve">.</w:t>
      </w:r>
      <w:r>
        <w:t xml:space="preserve"> </w:t>
      </w:r>
      <w:r>
        <w:t xml:space="preserve">In forests with more open upper canopies, including many needle-leaf forests, LAD can be predominantly accumulated in the lower canopy or understory layers</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Ishii</w:t>
      </w:r>
      <w:r>
        <w:t xml:space="preserve"> </w:t>
      </w:r>
      <w:r>
        <w:rPr>
          <w:iCs/>
          <w:i/>
        </w:rPr>
        <w:t xml:space="preserve">et al.</w:t>
      </w:r>
      <w:r>
        <w:t xml:space="preserve">, 2004; Bonan, 2016; e.g., OSBS, PUUM, and WREF, Fig. 2a,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LAD, canopy height, canopy structure, and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2019b;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w:t>
      </w:r>
      <w:r>
        <w:t xml:space="preserve"> </w:t>
      </w:r>
      <w:r>
        <w:t xml:space="preserve">“</w:t>
      </w:r>
      <w:r>
        <w:t xml:space="preserve">Leaf metabolism and thermal responses</w:t>
      </w:r>
      <w:r>
        <w:t xml:space="preserve">”</w:t>
      </w:r>
      <w:r>
        <w:t xml:space="preserve">), but also greater propensity towards elevated</w:t>
      </w:r>
      <w:r>
        <w:t xml:space="preserve"> </w:t>
      </w:r>
      <m:oMath>
        <m:sSub>
          <m:e>
            <m:r>
              <m:t>T</m:t>
            </m:r>
          </m:e>
          <m:sub>
            <m:r>
              <m:t>l</m:t>
            </m:r>
            <m:r>
              <m:t>e</m:t>
            </m:r>
            <m:r>
              <m:t>a</m:t>
            </m:r>
            <m:r>
              <m:t>f</m:t>
            </m:r>
          </m:sub>
        </m:sSub>
      </m:oMath>
      <w:r>
        <w:t xml:space="preserve"> </w:t>
      </w:r>
      <w:r>
        <w:t xml:space="preserve">(see section</w:t>
      </w:r>
      <w:r>
        <w:t xml:space="preserve"> </w:t>
      </w:r>
      <w:r>
        <w:t xml:space="preserve">“</w:t>
      </w:r>
      <w:r>
        <w:t xml:space="preserve">Leaf temperature</w:t>
      </w:r>
      <w:r>
        <w:t xml:space="preserve">”</w:t>
      </w:r>
      <w:r>
        <w:t xml:space="preserve">).</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(Fig. 2, Supporting Information Figure S1).</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w:t>
      </w:r>
      <w:r>
        <w:t xml:space="preserve"> </w:t>
      </w:r>
      <w:r>
        <w:t xml:space="preserve">“</w:t>
      </w:r>
      <w:r>
        <w:t xml:space="preserve">Leaf temperature</w:t>
      </w:r>
      <w:r>
        <w:t xml:space="preserve">”</w:t>
      </w:r>
      <w:r>
        <w:t xml:space="preserve">).</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w:t>
      </w:r>
      <w:r>
        <w:t xml:space="preserve"> </w:t>
      </w:r>
      <w:r>
        <w:t xml:space="preserve">“</w:t>
      </w:r>
      <w:r>
        <w:t xml:space="preserve">Leaf temperature</w:t>
      </w:r>
      <w:r>
        <w:t xml:space="preserve">”</w:t>
      </w:r>
      <w:r>
        <w:t xml:space="preserve">).</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other biophysical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w:t>
      </w:r>
      <w:r>
        <w:t xml:space="preserve"> </w:t>
      </w:r>
      <w:r>
        <w:t xml:space="preserve">“</w:t>
      </w:r>
      <w:r>
        <w:t xml:space="preserve">Leaf traits</w:t>
      </w:r>
      <w:r>
        <w:t xml:space="preserve">”</w:t>
      </w:r>
      <w:r>
        <w:t xml:space="preserve"> </w:t>
      </w:r>
      <w:r>
        <w:t xml:space="preserve">and</w:t>
      </w:r>
      <w:r>
        <w:t xml:space="preserve"> </w:t>
      </w:r>
      <w:r>
        <w:t xml:space="preserve">“</w:t>
      </w:r>
      <w:r>
        <w:t xml:space="preserve">Leaf metabolism and thermal responses</w:t>
      </w:r>
      <w:r>
        <w:t xml:space="preserve">”</w:t>
      </w:r>
      <w:r>
        <w:t xml:space="preserve">)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typically cooler than the air at night, and under some daytime conditions (cloudy skies, high windspeeds,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
    <w:p>
      <w:pPr>
        <w:pStyle w:val="Heading3"/>
      </w:pPr>
      <w:r>
        <w:t xml:space="preserve">Biophysical drivers</w:t>
      </w:r>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773051"/>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typical conditions for a broadleaf species (Quercus rubra L.) in a mesic temperate forest (Harvard Forest, Massachusetts, USA) under both normal and drought conditions, as detailed in Supplementary Information Methods S2. In each scenario, an the independent variable was allowed to vary while other parameters were held constant at the values given in the table of biophysical constants. swr = short wave radiation (W/m2); ws = windspeed (m/s); rh= relative humidity; lw = leaf width (cm); gs = stomatal conductance (mmol m2/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73051"/>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w:t>
      </w:r>
      <w:r>
        <w:t xml:space="preserve">L.) in a mesic temperate forest (Harvard Forest, Massachusetts, USA) under both normal and drought conditions, as detailed in Supplementary Information Methods S2. In each scenario, an the independent variable was allowed to vary while other parameters were held constant at the values given in the table of biophysical constants. swr = short wave radiation (W/m</w:t>
      </w:r>
      <w:r>
        <w:rPr>
          <w:vertAlign w:val="superscript"/>
        </w:rPr>
        <w:t xml:space="preserve">2</w:t>
      </w:r>
      <w:r>
        <w:t xml:space="preserve">); ws = windspeed (m/s); rh= relative humidity; lw = leaf width (cm); gs = stomatal conductance (mmol m</w:t>
      </w:r>
      <w:r>
        <w:rPr>
          <w:vertAlign w:val="superscript"/>
        </w:rPr>
        <w:t xml:space="preserve">2</w:t>
      </w:r>
      <w:r>
        <w:t xml:space="preserve">/s).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 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but during</w:t>
      </w:r>
      <w:r>
        <w:t xml:space="preserve"> </w:t>
      </w:r>
      <m:oMath>
        <m:sSub>
          <m:e>
            <m:r>
              <m:t>g</m:t>
            </m:r>
          </m:e>
          <m:sub>
            <m:r>
              <m:t>s</m:t>
            </m:r>
          </m:sub>
        </m:sSub>
      </m:oMath>
      <w:r>
        <w:t xml:space="preserve"> </w:t>
      </w:r>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rPr>
          <w:bCs/>
          <w:b/>
        </w:rPr>
        <w:t xml:space="preserve">Vertical gradients</w:t>
      </w:r>
    </w:p>
    <w:p>
      <w:pPr>
        <w:pStyle w:val="BodyText"/>
      </w:pPr>
      <w:r>
        <w:rPr>
          <w:bCs/>
          <w:b/>
        </w:rPr>
        <w:t xml:space="preserve">These basic biophysical principles shape the tendency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 4</w:t>
      </w:r>
      <w:r>
        <w:t xml:space="preserve"> </w:t>
      </w:r>
      <m:oMath>
        <m:r>
          <m:t>m</m:t>
        </m:r>
        <m:sSup>
          <m:e>
            <m:r>
              <m:t>s</m:t>
            </m:r>
          </m:e>
          <m:sup>
            <m:r>
              <m:rPr>
                <m:sty m:val="p"/>
              </m:rPr>
              <m:t>−</m:t>
            </m:r>
            <m:r>
              <m:t>1</m:t>
            </m:r>
          </m:sup>
        </m:sSup>
      </m:oMath>
      <w:r>
        <w:t xml:space="preserve">; Fig. 2) can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w:t>
      </w:r>
      <w:r>
        <w:t xml:space="preserve"> </w:t>
      </w:r>
      <m:oMath>
        <m:sSup>
          <m:e>
            <m:r>
              <m:t>4</m:t>
            </m:r>
          </m:e>
          <m:sup>
            <m:r>
              <m:rPr>
                <m:sty m:val="p"/>
              </m:rPr>
              <m:t>∘</m:t>
            </m:r>
          </m:sup>
        </m:sSup>
      </m:oMath>
      <w:r>
        <w:t xml:space="preserve">C</w:t>
      </w:r>
      <w:r>
        <w:t xml:space="preserve"> </w:t>
      </w:r>
      <w:r>
        <w:t xml:space="preserve">(Niinemets &amp; Valladares, 2004; Fig. 3b, Bonan, 2016)</w:t>
      </w:r>
      <w:r>
        <w:t xml:space="preserve">. Collectively, higher wind speed (Fig. 2), and with adaptive leaf traits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rPr>
          <w:bCs/>
          <w:b/>
        </w:rPr>
        <w:t xml:space="preserve">Vertical</w:t>
      </w:r>
      <w:r>
        <w:rPr>
          <w:bCs/>
          <w:b/>
        </w:rPr>
        <w:t xml:space="preserve"> </w:t>
      </w:r>
      <m:oMath>
        <m:sSub>
          <m:e>
            <m:r>
              <m:t>T</m:t>
            </m:r>
          </m:e>
          <m:sub>
            <m:r>
              <m:t>l</m:t>
            </m:r>
            <m:r>
              <m:t>e</m:t>
            </m:r>
            <m:r>
              <m:t>a</m:t>
            </m:r>
            <m:r>
              <m:t>f</m:t>
            </m:r>
          </m:sub>
        </m:sSub>
      </m:oMath>
      <w:r>
        <w:rPr>
          <w:bCs/>
          <w:b/>
        </w:rPr>
        <w:t xml:space="preserve"> </w:t>
      </w:r>
      <w:r>
        <w:rPr>
          <w:bCs/>
          <w:b/>
        </w:rPr>
        <w:t xml:space="preserve">gradients are also expected to vary with canopy structure (Fig. 3).</w:t>
      </w:r>
      <w:r>
        <w:t xml:space="preserve"> </w:t>
      </w:r>
      <w:r>
        <w:t xml:space="preserve">Closed canopies with high LAI act as an parasol, absorbing most of the incoming radiation and preventing vertical air mixing in the understory. In contrast to closed canopies, open canopies with lower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p>
    <w:p>
      <w:pPr>
        <w:pStyle w:val="BodyText"/>
      </w:pPr>
      <w:r>
        <w:rPr>
          <w:bCs/>
          <w:b/>
        </w:rPr>
        <w:t xml:space="preserve">Within closed-canopy forests vertical gradients,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varies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Under lower wind conditions, however, lower</w:t>
      </w:r>
      <w:r>
        <w:t xml:space="preserve"> </w:t>
      </w:r>
      <m:oMath>
        <m:sSub>
          <m:e>
            <m:r>
              <m:t>g</m:t>
            </m:r>
          </m:e>
          <m:sub>
            <m:r>
              <m:t>b</m:t>
            </m:r>
          </m:sub>
        </m:sSub>
      </m:oMath>
      <w:r>
        <w:t xml:space="preserve"> </w:t>
      </w:r>
      <w:r>
        <w:t xml:space="preserve">increases</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(Roberts</w:t>
      </w:r>
      <w:r>
        <w:t xml:space="preserve"> </w:t>
      </w:r>
      <w:r>
        <w:rPr>
          <w:iCs/>
          <w:i/>
        </w:rPr>
        <w:t xml:space="preserve">et al.</w:t>
      </w:r>
      <w:r>
        <w:t xml:space="preserve">, 1990a; Fig. 3b,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(Zweifel</w:t>
      </w:r>
      <w:r>
        <w:t xml:space="preserve"> </w:t>
      </w:r>
      <w:r>
        <w:rPr>
          <w:iCs/>
          <w:i/>
        </w:rPr>
        <w:t xml:space="preserve">et al.</w:t>
      </w:r>
      <w:r>
        <w:t xml:space="preserve">, 2002; 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Fig. 3c,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in-situ-observations"/>
    <w:p>
      <w:pPr>
        <w:pStyle w:val="Heading3"/>
      </w:pPr>
      <w:r>
        <w:t xml:space="preserve">In situ observations</w:t>
      </w:r>
    </w:p>
    <w:p>
      <w:pPr>
        <w:pStyle w:val="FirstParagraph"/>
      </w:pPr>
      <w:r>
        <w:rPr>
          <w:bCs/>
          <w:b/>
        </w:rPr>
        <w:t xml:space="preserve">Following the principles outlined above, vertical microclimate profiles, leaf traits, and</w:t>
      </w:r>
      <w:r>
        <w:rPr>
          <w:bCs/>
          <w:b/>
        </w:rPr>
        <w:t xml:space="preserve"> </w:t>
      </w:r>
      <m:oMath>
        <m:sSub>
          <m:e>
            <m:r>
              <m:t>g</m:t>
            </m:r>
          </m:e>
          <m:sub>
            <m:r>
              <m:t>s</m:t>
            </m:r>
          </m:sub>
        </m:sSub>
      </m:oMath>
      <w:r>
        <w:rPr>
          <w:bCs/>
          <w:b/>
        </w:rPr>
        <w:t xml:space="preserve"> </w:t>
      </w:r>
      <w:r>
        <w:rPr>
          <w:bCs/>
          <w:b/>
        </w:rPr>
        <w:t xml:space="preserve">together explain</w:t>
      </w:r>
      <w:r>
        <w:rPr>
          <w:bCs/>
          <w:b/>
        </w:rPr>
        <w:t xml:space="preserve"> </w:t>
      </w:r>
      <w:r>
        <w:rPr>
          <w:iCs/>
          <w:i/>
          <w:bCs/>
          <w:b/>
        </w:rPr>
        <w:t xml:space="preserve">in situ</w:t>
      </w:r>
      <w:r>
        <w:rPr>
          <w:bCs/>
          <w:b/>
        </w:rPr>
        <w:t xml:space="preserve"> </w:t>
      </w:r>
      <m:oMath>
        <m:sSub>
          <m:e>
            <m:r>
              <m:t>T</m:t>
            </m:r>
          </m:e>
          <m:sub>
            <m:r>
              <m:t>l</m:t>
            </m:r>
            <m:r>
              <m:t>e</m:t>
            </m:r>
            <m:r>
              <m:t>a</m:t>
            </m:r>
            <m:r>
              <m:t>f</m:t>
            </m:r>
          </m:sub>
        </m:sSub>
      </m:oMath>
      <w:r>
        <w:rPr>
          <w:bCs/>
          <w:b/>
        </w:rPr>
        <w:t xml:space="preserve"> </w:t>
      </w:r>
      <w:r>
        <w:rPr>
          <w:bCs/>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Cs/>
          <w:i/>
        </w:rPr>
        <w:t xml:space="preserve">in large part due to vertical gradients in leaf traits and</w:t>
      </w:r>
      <w:r>
        <w:rPr>
          <w:iCs/>
          <w:i/>
        </w:rPr>
        <w:t xml:space="preserve"> </w:t>
      </w:r>
      <m:oMath>
        <m:sSub>
          <m:e>
            <m:r>
              <m:t>g</m:t>
            </m:r>
          </m:e>
          <m:sub>
            <m:r>
              <m:t>s</m:t>
            </m:r>
          </m:sub>
        </m:sSub>
      </m:oMath>
      <w:r>
        <w:rPr>
          <w:iCs/>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canopy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transmission, vertical air mixing, and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S1b,e, Muller</w:t>
      </w:r>
      <w:r>
        <w:t xml:space="preserve"> </w:t>
      </w:r>
      <w:r>
        <w:rPr>
          <w:iCs/>
          <w:i/>
        </w:rPr>
        <w:t xml:space="preserve">et al.</w:t>
      </w:r>
      <w:r>
        <w:t xml:space="preserve">, 2021)</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p>
    <w:bookmarkEnd w:id="28"/>
    <w:bookmarkEnd w:id="29"/>
    <w:bookmarkStart w:id="38" w:name="leaf-traits"/>
    <w:p>
      <w:pPr>
        <w:pStyle w:val="Heading2"/>
      </w:pPr>
      <w:r>
        <w:t xml:space="preserve">Leaf traits</w:t>
      </w:r>
    </w:p>
    <w:p>
      <w:pPr>
        <w:pStyle w:val="FirstParagraph"/>
      </w:pPr>
      <w:r>
        <w:rPr>
          <w:bCs/>
          <w:b/>
        </w:rPr>
        <w:t xml:space="preserve">Leaf traits determine the capacity of leaves to thermoregulate</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and as such are critical to optimizing leaf metabolism across forest vertical strata</w:t>
      </w:r>
      <w:r>
        <w:rPr>
          <w:bCs/>
          <w:b/>
        </w:rPr>
        <w:t xml:space="preserve"> </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r>
        <w:rPr>
          <w:bCs/>
          <w:b/>
        </w:rP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determines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 Supporting Information Figure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 [e.g.,</w:t>
      </w:r>
      <w:r>
        <w:t xml:space="preserve"> </w:t>
      </w:r>
      <w:r>
        <w:rPr>
          <w:iCs/>
          <w:i/>
        </w:rPr>
        <w:t xml:space="preserve">Lamour, Serbin in prep</w:t>
      </w:r>
      <w:r>
        <w:t xml:space="preserve">;</w:t>
      </w:r>
      <w:r>
        <w:t xml:space="preserve"> </w:t>
      </w:r>
      <w:r>
        <w:t xml:space="preserve">Cavaleri</w:t>
      </w:r>
      <w:r>
        <w:t xml:space="preserve"> </w:t>
      </w:r>
      <w:r>
        <w:rPr>
          <w:iCs/>
          <w:i/>
        </w:rPr>
        <w:t xml:space="preserve">et al.</w:t>
      </w:r>
      <w:r>
        <w:t xml:space="preserve"> </w:t>
      </w:r>
      <w:r>
        <w:t xml:space="preserve">(2010)</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As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t>
      </w:r>
      <w:r>
        <w:t xml:space="preserve">which was developed using sun leaves</w:t>
      </w:r>
      <w:r>
        <w:t xml:space="preserve"> </w:t>
      </w:r>
      <w:r>
        <w:t xml:space="preserve">(Keenan &amp; Niinemets, 2016; Chen</w:t>
      </w:r>
      <w:r>
        <w:t xml:space="preserve"> </w:t>
      </w:r>
      <w:r>
        <w:rPr>
          <w:iCs/>
          <w:i/>
        </w:rPr>
        <w:t xml:space="preserve">et al.</w:t>
      </w:r>
      <w:r>
        <w:t xml:space="preserve">, 2020)</w:t>
      </w:r>
      <w:r>
        <w:t xml:space="preserve">,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(Niinemets, 2010;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Studies listed here were compiled using a systematic review process, as described in Supplementary Information Methods S3.</w:t>
      </w:r>
    </w:p>
    <w:p>
      <w:pPr>
        <w:pStyle w:val="BodyText"/>
      </w:pPr>
      <w:r>
        <w:drawing>
          <wp:inline>
            <wp:extent cx="5334000" cy="7253391"/>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253391"/>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7371588"/>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7371588"/>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95629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95629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27. Panditharathna et al. 2008; 28. Baltzer and Thomas 2005; 29. Dietz et al. 2007; 30. Coble et al. 2016; 31. Scartazza et al. 2016; 32. Duursma and Marshall, 2006; 33. Harley et al. 1996; 34. Hernandez et al. 2020; 35. Turnbull et al. 2003; 36. Chen et al. 2020; 37. van de Weg et al. 2012; 38. M.A Cavaleri et al. 2008; 39. Koniger et al. 1995; 40. Mastubara et al. 2009; 41. Harris and Medina 2013; 42. Hansen et al. 2001; 43. Poorter et al. 1995; 44. Coble et al. 2017; 45. Niinemets et al. 2004; 46. Poorter et al. 2000; 47. Zwieniecki et al. 2004; 48. Sack and Scoffoni, 2013; 49. Ball et al., 1988</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more pubescent, having higher vein density</w:t>
      </w:r>
      <w:r>
        <w:t xml:space="preserve"> </w:t>
      </w:r>
      <w:r>
        <w:t xml:space="preserve">(Vogel, 1968; Zwieniecki</w:t>
      </w:r>
      <w:r>
        <w:t xml:space="preserve"> </w:t>
      </w:r>
      <w:r>
        <w:rPr>
          <w:iCs/>
          <w:i/>
        </w:rPr>
        <w:t xml:space="preserve">et al.</w:t>
      </w:r>
      <w:r>
        <w:t xml:space="preserve">, 2004; Sack</w:t>
      </w:r>
      <w:r>
        <w:t xml:space="preserve"> </w:t>
      </w:r>
      <w:r>
        <w:rPr>
          <w:iCs/>
          <w:i/>
        </w:rPr>
        <w:t xml:space="preserve">et al.</w:t>
      </w:r>
      <w:r>
        <w:t xml:space="preserve">, 2006; Table 1, Leigh</w:t>
      </w:r>
      <w:r>
        <w:t xml:space="preserve"> </w:t>
      </w:r>
      <w:r>
        <w:rPr>
          <w:iCs/>
          <w:i/>
        </w:rPr>
        <w:t xml:space="preserve">et al.</w:t>
      </w:r>
      <w:r>
        <w:t xml:space="preserve">, 2017; Mathur</w:t>
      </w:r>
      <w:r>
        <w:t xml:space="preserve"> </w:t>
      </w:r>
      <w:r>
        <w:rPr>
          <w:iCs/>
          <w:i/>
        </w:rPr>
        <w:t xml:space="preserve">et al.</w:t>
      </w:r>
      <w:r>
        <w:t xml:space="preserve">, 2018)</w:t>
      </w:r>
      <w:r>
        <w:t xml:space="preserve">, and a steeper leaf-angle</w:t>
      </w:r>
      <w:r>
        <w:t xml:space="preserve"> </w:t>
      </w:r>
      <w:r>
        <w:t xml:space="preserve">(Ball</w:t>
      </w:r>
      <w:r>
        <w:t xml:space="preserve"> </w:t>
      </w:r>
      <w:r>
        <w:rPr>
          <w:iCs/>
          <w:i/>
        </w:rPr>
        <w:t xml:space="preserve">et al.</w:t>
      </w:r>
      <w:r>
        <w:t xml:space="preserve">, 1988; Niinemets, 1998)</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 In open canopies, where light is comparatively homogeneous, exposed leaves are shaped more by</w:t>
      </w:r>
      <w:r>
        <w:t xml:space="preserve"> </w:t>
      </w:r>
      <m:oMath>
        <m:sSub>
          <m:e>
            <m:r>
              <m:t>T</m:t>
            </m:r>
          </m:e>
          <m:sub>
            <m:r>
              <m:t>a</m:t>
            </m:r>
            <m:r>
              <m:t>i</m:t>
            </m:r>
            <m:sSub>
              <m:e>
                <m:r>
                  <m:t>r</m:t>
                </m:r>
              </m:e>
              <m:sub>
                <m:r>
                  <m:t>m</m:t>
                </m:r>
                <m:r>
                  <m:t>a</m:t>
                </m:r>
                <m:r>
                  <m:t>x</m:t>
                </m:r>
              </m:sub>
            </m:sSub>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concentrations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high rates of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 in sun leaves</w:t>
      </w:r>
      <w:r>
        <w:t xml:space="preserve"> </w:t>
      </w:r>
      <w:r>
        <w:t xml:space="preserve">(Niinemets</w:t>
      </w:r>
      <w:r>
        <w:t xml:space="preserve"> </w:t>
      </w:r>
      <w:r>
        <w:rPr>
          <w:iCs/>
          <w:i/>
        </w:rPr>
        <w:t xml:space="preserve">et al.</w:t>
      </w:r>
      <w:r>
        <w:t xml:space="preserve">, 2004a; Weerasinghe</w:t>
      </w:r>
      <w:r>
        <w:t xml:space="preserve"> </w:t>
      </w:r>
      <w:r>
        <w:rPr>
          <w:iCs/>
          <w:i/>
        </w:rPr>
        <w:t xml:space="preserve">et al.</w:t>
      </w:r>
      <w:r>
        <w:t xml:space="preserve">, 2014; Table 1, Scartazza</w:t>
      </w:r>
      <w:r>
        <w:t xml:space="preserve"> </w:t>
      </w:r>
      <w:r>
        <w:rPr>
          <w:iCs/>
          <w:i/>
        </w:rPr>
        <w:t xml:space="preserve">et al.</w:t>
      </w:r>
      <w:r>
        <w:t xml:space="preserve">, 2016)</w:t>
      </w:r>
      <w:r>
        <w:t xml:space="preserve">, and may be optimized throughout the vertical canopy gradient</w:t>
      </w:r>
      <w:r>
        <w:t xml:space="preserve"> </w:t>
      </w:r>
      <w:r>
        <w:t xml:space="preserve">(Buckley, 2021)</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Cs/>
          <w:i/>
        </w:rPr>
        <w:t xml:space="preserve">et al.</w:t>
      </w:r>
      <w:r>
        <w:t xml:space="preserve">, 2018)</w:t>
      </w:r>
      <w:r>
        <w:t xml:space="preserve">. However,</w:t>
      </w:r>
      <w:r>
        <w:t xml:space="preserve"> </w:t>
      </w:r>
      <w:r>
        <w:t xml:space="preserve">Zhu</w:t>
      </w:r>
      <w:r>
        <w:t xml:space="preserve"> </w:t>
      </w:r>
      <w:r>
        <w:rPr>
          <w:iCs/>
          <w:i/>
        </w:rPr>
        <w:t xml:space="preserve">et al.</w:t>
      </w:r>
      <w:r>
        <w:t xml:space="preserve"> </w:t>
      </w:r>
      <w:r>
        <w:t xml:space="preserve">(2018)</w:t>
      </w:r>
      <w:r>
        <w:t xml:space="preserve"> </w:t>
      </w:r>
      <w:r>
        <w:t xml:space="preserve">and</w:t>
      </w:r>
      <w:r>
        <w:t xml:space="preserve"> </w:t>
      </w:r>
      <w:r>
        <w:t xml:space="preserve">O’Sullivan</w:t>
      </w:r>
      <w:r>
        <w:t xml:space="preserve"> </w:t>
      </w:r>
      <w:r>
        <w:rPr>
          <w:iCs/>
          <w:i/>
        </w:rPr>
        <w:t xml:space="preserve">et al.</w:t>
      </w:r>
      <w:r>
        <w:t xml:space="preserve"> </w:t>
      </w:r>
      <w:r>
        <w:t xml:space="preserve">(2017)</w:t>
      </w:r>
      <w:r>
        <w:t xml:space="preserve"> </w:t>
      </w:r>
      <w:r>
        <w:t xml:space="preserve">observed no relation between total foliar concentrations of N and P and foliar thermal tolerance.</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2007a; Mathur</w:t>
      </w:r>
      <w:r>
        <w:t xml:space="preserve"> </w:t>
      </w:r>
      <w:r>
        <w:rPr>
          <w:iCs/>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 Monson</w:t>
      </w:r>
      <w:r>
        <w:t xml:space="preserve"> </w:t>
      </w:r>
      <w:r>
        <w:rPr>
          <w:iCs/>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 For example, deciduousness is an adaptation to conserve water during cold or dry periods</w:t>
      </w:r>
      <w:r>
        <w:t xml:space="preserve"> </w:t>
      </w:r>
      <w:r>
        <w:t xml:space="preserve">(Meakem</w:t>
      </w:r>
      <w:r>
        <w:t xml:space="preserve"> </w:t>
      </w:r>
      <w:r>
        <w:rPr>
          <w:iCs/>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 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 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6"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metabolism and thermal responses across the vertical gradient and/or between sun and shade leaves. Studies listed here were compiled using a systematic review process, as described in Supplementary Information Methods S3.</w:t>
      </w:r>
    </w:p>
    <w:p>
      <w:pPr>
        <w:pStyle w:val="BodyText"/>
      </w:pPr>
      <w:r>
        <w:drawing>
          <wp:inline>
            <wp:extent cx="5334000" cy="6541864"/>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9"/>
                    <a:stretch>
                      <a:fillRect/>
                    </a:stretch>
                  </pic:blipFill>
                  <pic:spPr bwMode="auto">
                    <a:xfrm>
                      <a:off x="0" y="0"/>
                      <a:ext cx="5334000" cy="6541864"/>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5057"/>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0"/>
                    <a:stretch>
                      <a:fillRect/>
                    </a:stretch>
                  </pic:blipFill>
                  <pic:spPr bwMode="auto">
                    <a:xfrm>
                      <a:off x="0" y="0"/>
                      <a:ext cx="5334000" cy="6965057"/>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05579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1"/>
                    <a:stretch>
                      <a:fillRect/>
                    </a:stretch>
                  </pic:blipFill>
                  <pic:spPr bwMode="auto">
                    <a:xfrm>
                      <a:off x="0" y="0"/>
                      <a:ext cx="5334000" cy="705579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42"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 However, because of the high VPD and irradiance experienced by sun leaves, midday stomatal depression is more prevalent in sun leaves than shade leaves in closed-canopy forests. 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p>
    <w:bookmarkEnd w:id="42"/>
    <w:bookmarkStart w:id="43" w:name="photosynthesis"/>
    <w:p>
      <w:pPr>
        <w:pStyle w:val="Heading3"/>
      </w:pPr>
      <w:r>
        <w:t xml:space="preserve">Photosynthesis</w:t>
      </w:r>
    </w:p>
    <w:p>
      <w:pPr>
        <w:pStyle w:val="FirstParagraph"/>
      </w:pPr>
      <w:r>
        <w:rPr>
          <w:bCs/>
          <w:b/>
        </w:rPr>
        <w:t xml:space="preserve">Photosynthetic capacity is generally higher in exposed canopy positions– a fact that is both theoretically expected and observed in numerous field studies [Table 2;</w:t>
      </w:r>
      <w:r>
        <w:rPr>
          <w:bCs/>
          <w:b/>
        </w:rPr>
        <w:t xml:space="preserve"> </w:t>
      </w:r>
      <w:r>
        <w:rPr>
          <w:bCs/>
          <w:b/>
        </w:rPr>
        <w:t xml:space="preserve">Niinemets (2007b)</w:t>
      </w:r>
      <w:r>
        <w:rPr>
          <w:bCs/>
          <w:b/>
        </w:rPr>
        <w:t xml:space="preserve"> </w:t>
      </w:r>
      <w:r>
        <w:rPr>
          <w:bCs/>
          <w:b/>
        </w:rPr>
        <w:t xml:space="preserve">;</w:t>
      </w:r>
      <w:r>
        <w:rPr>
          <w:bCs/>
          <w:b/>
        </w:rPr>
        <w:t xml:space="preserve"> </w:t>
      </w:r>
      <w:r>
        <w:rPr>
          <w:bCs/>
          <w:b/>
        </w:rPr>
        <w:t xml:space="preserve">Kenzo</w:t>
      </w:r>
      <w:r>
        <w:rPr>
          <w:bCs/>
          <w:b/>
        </w:rPr>
        <w:t xml:space="preserve"> </w:t>
      </w:r>
      <w:r>
        <w:rPr>
          <w:iCs/>
          <w:i/>
          <w:bCs/>
          <w:b/>
        </w:rPr>
        <w:t xml:space="preserve">et al.</w:t>
      </w:r>
      <w:r>
        <w:rPr>
          <w:bCs/>
          <w:b/>
        </w:rPr>
        <w:t xml:space="preserve"> </w:t>
      </w:r>
      <w:r>
        <w:rPr>
          <w:bCs/>
          <w:b/>
        </w:rPr>
        <w:t xml:space="preserve">(2015)</w:t>
      </w:r>
      <w:r>
        <w:rPr>
          <w:bCs/>
          <w:b/>
        </w:rPr>
        <w:t xml:space="preserve"> </w:t>
      </w:r>
      <w:r>
        <w:rPr>
          <w:bCs/>
          <w:b/>
        </w:rPr>
        <w:t xml:space="preserve">;</w:t>
      </w:r>
      <w:r>
        <w:rPr>
          <w:bCs/>
          <w:b/>
        </w:rPr>
        <w:t xml:space="preserve"> </w:t>
      </w:r>
      <w:r>
        <w:rPr>
          <w:bCs/>
          <w:b/>
        </w:rPr>
        <w:t xml:space="preserve">Slot</w:t>
      </w:r>
      <w:r>
        <w:rPr>
          <w:bCs/>
          <w:b/>
        </w:rPr>
        <w:t xml:space="preserve"> </w:t>
      </w:r>
      <w:r>
        <w:rPr>
          <w:iCs/>
          <w:i/>
          <w:bCs/>
          <w:b/>
        </w:rPr>
        <w:t xml:space="preserve">et al.</w:t>
      </w:r>
      <w:r>
        <w:rPr>
          <w:bCs/>
          <w:b/>
        </w:rPr>
        <w:t xml:space="preserve"> </w:t>
      </w:r>
      <w:r>
        <w:rPr>
          <w:bCs/>
          <w:b/>
        </w:rPr>
        <w:t xml:space="preserve">(2019)</w:t>
      </w:r>
      <w:r>
        <w:rPr>
          <w:bCs/>
          <w:b/>
        </w:rPr>
        <w:t xml:space="preserve">;</w:t>
      </w:r>
      <w:r>
        <w:rPr>
          <w:bCs/>
          <w:b/>
        </w:rPr>
        <w:t xml:space="preserve"> </w:t>
      </w:r>
      <w:r>
        <w:rPr>
          <w:bCs/>
          <w:b/>
        </w:rPr>
        <w:t xml:space="preserve">Chen</w:t>
      </w:r>
      <w:r>
        <w:rPr>
          <w:bCs/>
          <w:b/>
        </w:rPr>
        <w:t xml:space="preserve"> </w:t>
      </w:r>
      <w:r>
        <w:rPr>
          <w:iCs/>
          <w:i/>
          <w:bCs/>
          <w:b/>
        </w:rPr>
        <w:t xml:space="preserve">et al.</w:t>
      </w:r>
      <w:r>
        <w:rPr>
          <w:bCs/>
          <w:b/>
        </w:rPr>
        <w:t xml:space="preserve"> </w:t>
      </w:r>
      <w:r>
        <w:rPr>
          <w:bCs/>
          <w:b/>
        </w:rPr>
        <w:t xml:space="preserve">(2020)</w:t>
      </w:r>
      <w:r>
        <w:rPr>
          <w:bCs/>
          <w:b/>
        </w:rPr>
        <w:t xml:space="preserve">].</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corresponding to the prevalent ambient growing season conditions</w:t>
      </w:r>
      <w:r>
        <w:t xml:space="preserve"> </w:t>
      </w:r>
      <w:r>
        <w:t xml:space="preserve">(Doughty &amp; Goulden, 2008; Slot &amp; Winter, 2017; Tan</w:t>
      </w:r>
      <w:r>
        <w:t xml:space="preserve"> </w:t>
      </w:r>
      <w:r>
        <w:rPr>
          <w:iCs/>
          <w:i/>
        </w:rPr>
        <w:t xml:space="preserve">et al.</w:t>
      </w:r>
      <w:r>
        <w:t xml:space="preserve">, 2017)</w:t>
      </w:r>
      <w:r>
        <w:t xml:space="preserve">. 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2019a)</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2019a)</w:t>
      </w:r>
      <w:r>
        <w:t xml:space="preserve">, one might expect sun leaves to have a stronger temperature-dependence and higher temperature optima than shade leaves [Campbell and Norman 1998;</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p>
    <w:p>
      <w:pPr>
        <w:pStyle w:val="BodyText"/>
      </w:pP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 Evaluating this requires diurnal monitoring of net photosynthesis through the canopy.</w:t>
      </w:r>
    </w:p>
    <w:p>
      <w:pPr>
        <w:pStyle w:val="BodyText"/>
      </w:pPr>
      <w:r>
        <w:rPr>
          <w:bCs/>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rPr>
            <m:sty m:val="p"/>
          </m:rPr>
          <m:t>−</m:t>
        </m:r>
        <m:sSup>
          <m:e>
            <m:r>
              <m:t>60</m:t>
            </m:r>
          </m:e>
          <m:sup>
            <m:r>
              <m:rPr>
                <m:sty m:val="p"/>
              </m:rPr>
              <m:t>∘</m:t>
            </m:r>
          </m:sup>
        </m:sSup>
        <m:r>
          <m:t>C</m:t>
        </m:r>
      </m:oMath>
      <w:r>
        <w:t xml:space="preserve"> </w:t>
      </w:r>
      <w:r>
        <w:t xml:space="preserve">(Baker, 2008; Feeley</w:t>
      </w:r>
      <w:r>
        <w:t xml:space="preserve"> </w:t>
      </w:r>
      <w:r>
        <w:rPr>
          <w:iCs/>
          <w:i/>
        </w:rPr>
        <w:t xml:space="preserve">et al.</w:t>
      </w:r>
      <w:r>
        <w:t xml:space="preserve">, 2020)</w:t>
      </w:r>
      <w:r>
        <w:t xml:space="preserve">. 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Chinquapin oak (</w:t>
      </w:r>
      <w:r>
        <w:rPr>
          <w:iCs/>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w:t>
      </w:r>
      <w:r>
        <w:t xml:space="preserve"> </w:t>
      </w:r>
      <w:r>
        <w:t xml:space="preserve">(Hamerlynck &amp; Knapp, 1996)</w:t>
      </w:r>
      <w:r>
        <w:t xml:space="preserve">. In Australia, along a vertical gradient within the canopy,</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Cs/>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Cs/>
          <w:i/>
        </w:rPr>
        <w:t xml:space="preserve">et al.</w:t>
      </w:r>
      <w:r>
        <w:t xml:space="preserve">, 2021a)</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 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43"/>
    <w:bookmarkStart w:id="44" w:name="respiration"/>
    <w:p>
      <w:pPr>
        <w:pStyle w:val="Heading3"/>
      </w:pPr>
      <w:r>
        <w:t xml:space="preserve">Respiration</w:t>
      </w:r>
    </w:p>
    <w:p>
      <w:pPr>
        <w:pStyle w:val="FirstParagraph"/>
      </w:pPr>
      <w:r>
        <w:rPr>
          <w:bCs/>
          <w:b/>
        </w:rPr>
        <w:t xml:space="preserve">Similar to photosynthesis, respiration tends to be higher in canopy sun-leaves</w:t>
      </w:r>
      <w:r>
        <w:rPr>
          <w:bCs/>
          <w:b/>
        </w:rPr>
        <w:t xml:space="preserve"> </w:t>
      </w:r>
      <w:r>
        <w:rPr>
          <w:bCs/>
          <w:b/>
        </w:rPr>
        <w:t xml:space="preserve">(Table 2, Chen</w:t>
      </w:r>
      <w:r>
        <w:rPr>
          <w:bCs/>
          <w:b/>
        </w:rPr>
        <w:t xml:space="preserve"> </w:t>
      </w:r>
      <w:r>
        <w:rPr>
          <w:iCs/>
          <w:i/>
          <w:bCs/>
          <w:b/>
        </w:rPr>
        <w:t xml:space="preserve">et al.</w:t>
      </w:r>
      <w:r>
        <w:rPr>
          <w:bCs/>
          <w:b/>
        </w:rPr>
        <w:t xml:space="preserve">, 2020)</w:t>
      </w:r>
      <w:r>
        <w:rPr>
          <w:bCs/>
          <w:b/>
        </w:rPr>
        <w:t xml:space="preserve">, but its temperature sensitivity (</w:t>
      </w:r>
      <m:oMath>
        <m:sSub>
          <m:e>
            <m:r>
              <m:t>Q</m:t>
            </m:r>
          </m:e>
          <m:sub>
            <m:r>
              <m:t>10</m:t>
            </m:r>
          </m:sub>
        </m:sSub>
      </m:oMath>
      <w:r>
        <w:rPr>
          <w:bCs/>
          <w:b/>
        </w:rPr>
        <w:t xml:space="preserve">) shows no definite trend along the vertical gradient</w:t>
      </w:r>
      <w:r>
        <w:rPr>
          <w:bCs/>
          <w:b/>
        </w:rPr>
        <w:t xml:space="preserve"> </w:t>
      </w:r>
      <w:r>
        <w:rPr>
          <w:bCs/>
          <w:b/>
        </w:rPr>
        <w:t xml:space="preserve">(Bolstad</w:t>
      </w:r>
      <w:r>
        <w:rPr>
          <w:bCs/>
          <w:b/>
        </w:rPr>
        <w:t xml:space="preserve"> </w:t>
      </w:r>
      <w:r>
        <w:rPr>
          <w:iCs/>
          <w:i/>
          <w:bCs/>
          <w:b/>
        </w:rPr>
        <w:t xml:space="preserve">et al.</w:t>
      </w:r>
      <w:r>
        <w:rPr>
          <w:bCs/>
          <w:b/>
        </w:rPr>
        <w:t xml:space="preserve">, 1999; Weerasinghe</w:t>
      </w:r>
      <w:r>
        <w:rPr>
          <w:bCs/>
          <w:b/>
        </w:rPr>
        <w:t xml:space="preserve"> </w:t>
      </w:r>
      <w:r>
        <w:rPr>
          <w:iCs/>
          <w:i/>
          <w:bCs/>
          <w:b/>
        </w:rPr>
        <w:t xml:space="preserve">et al.</w:t>
      </w:r>
      <w:r>
        <w:rPr>
          <w:bCs/>
          <w:b/>
        </w:rPr>
        <w:t xml:space="preserve">, 2014)</w:t>
      </w:r>
      <w:r>
        <w:rPr>
          <w:bCs/>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 This may vary based on forest type [</w:t>
      </w:r>
      <w:r>
        <w:rPr>
          <w:bCs/>
          <w:b/>
        </w:rPr>
        <w:t xml:space="preserve">REF</w:t>
      </w:r>
      <w:r>
        <w:t xml:space="preserve">], acclimation to high temperature that decreases</w:t>
      </w:r>
      <w:r>
        <w:t xml:space="preserve"> </w:t>
      </w:r>
      <m:oMath>
        <m:sSub>
          <m:e>
            <m:r>
              <m:t>Q</m:t>
            </m:r>
          </m:e>
          <m:sub>
            <m:r>
              <m:t>10</m:t>
            </m:r>
          </m:sub>
        </m:sSub>
      </m:oMath>
      <w:r>
        <w:t xml:space="preserve"> </w:t>
      </w:r>
      <w:r>
        <w:t xml:space="preserve">(Slot &amp; Kitajima, 2015)</w:t>
      </w:r>
      <w:r>
        <w:t xml:space="preserve">, or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Cs/>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Cs/>
          <w:i/>
        </w:rPr>
        <w:t xml:space="preserve">et al.</w:t>
      </w:r>
      <w:r>
        <w:t xml:space="preserve">, 2021)</w:t>
      </w:r>
      <w:r>
        <w:t xml:space="preserve">.</w:t>
      </w:r>
    </w:p>
    <w:bookmarkEnd w:id="44"/>
    <w:bookmarkStart w:id="45" w:name="voc-production"/>
    <w:p>
      <w:pPr>
        <w:pStyle w:val="Heading3"/>
      </w:pPr>
      <w:r>
        <w:t xml:space="preserve">VOC production</w:t>
      </w:r>
    </w:p>
    <w:p>
      <w:pPr>
        <w:pStyle w:val="FirstParagraph"/>
      </w:pPr>
      <w:r>
        <w:rPr>
          <w:bCs/>
          <w:b/>
        </w:rPr>
        <w:t xml:space="preserve">The vertical structuring of leaf isoprene emissions may indicate the importance of temporal variability in thermal conditions as distinct from the long-term average.</w:t>
      </w:r>
      <w:r>
        <w:t xml:space="preserve"> </w:t>
      </w:r>
      <w:r>
        <w:t xml:space="preserve">Isoprene gas emission from tree leaves is associated with photosynthetic thermal tolerance</w:t>
      </w:r>
      <w:r>
        <w:t xml:space="preserve"> </w:t>
      </w:r>
      <w:r>
        <w:t xml:space="preserve">(Sharkey</w:t>
      </w:r>
      <w:r>
        <w:t xml:space="preserve"> </w:t>
      </w:r>
      <w:r>
        <w:rPr>
          <w:iCs/>
          <w:i/>
        </w:rPr>
        <w:t xml:space="preserve">et al.</w:t>
      </w:r>
      <w:r>
        <w:t xml:space="preserve">, 2008; Taylor</w:t>
      </w:r>
      <w:r>
        <w:t xml:space="preserve"> </w:t>
      </w:r>
      <w:r>
        <w:rPr>
          <w:iCs/>
          <w:i/>
        </w:rPr>
        <w:t xml:space="preserve">et al.</w:t>
      </w:r>
      <w:r>
        <w:t xml:space="preserve">, 2019)</w:t>
      </w:r>
      <w:r>
        <w:t xml:space="preserve">, and within species, emission rates tend to increase toward brighter and hotter microenvironments</w:t>
      </w:r>
      <w:r>
        <w:t xml:space="preserve"> </w:t>
      </w:r>
      <w:r>
        <w:t xml:space="preserve">(Niinemets</w:t>
      </w:r>
      <w:r>
        <w:t xml:space="preserve"> </w:t>
      </w:r>
      <w:r>
        <w:rPr>
          <w:iCs/>
          <w:i/>
        </w:rPr>
        <w:t xml:space="preserve">et al.</w:t>
      </w:r>
      <w:r>
        <w:t xml:space="preserve">, 2010)</w:t>
      </w:r>
      <w:r>
        <w:t xml:space="preserve">.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 In contrast, a recent inventory in an Amazon forest showed that both the abundance of emitting species and average emission rates were highest in the mid-canopy region instead of the hotter and brighter upper canopy</w:t>
      </w:r>
      <w:r>
        <w:t xml:space="preserve"> </w:t>
      </w:r>
      <w:r>
        <w:t xml:space="preserve">(Taylor</w:t>
      </w:r>
      <w:r>
        <w:t xml:space="preserve"> </w:t>
      </w:r>
      <w:r>
        <w:rPr>
          <w:iCs/>
          <w:i/>
        </w:rPr>
        <w:t xml:space="preserve">et al.</w:t>
      </w:r>
      <w:r>
        <w:t xml:space="preserve">, 2021)</w:t>
      </w:r>
      <w:r>
        <w:t xml:space="preserve">. This observation is consistent with the hypothesis that temperature sensitive isoprene emissions enable real-time acclimation to rapidly changing leaf thermal environments typical of the mid-canopy region</w:t>
      </w:r>
      <w:r>
        <w:t xml:space="preserve"> </w:t>
      </w:r>
      <w:r>
        <w:t xml:space="preserve">(Sharkey</w:t>
      </w:r>
      <w:r>
        <w:t xml:space="preserve"> </w:t>
      </w:r>
      <w:r>
        <w:rPr>
          <w:iCs/>
          <w:i/>
        </w:rPr>
        <w:t xml:space="preserve">et al.</w:t>
      </w:r>
      <w:r>
        <w:t xml:space="preserve">, 2008)</w:t>
      </w:r>
      <w:r>
        <w:t xml:space="preserve">, due to the sun’s passage across a dynamically structured canopy surface. This review focuses primarily on variation in mean conditions across the vertical profile, but future work should seek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w:t>
      </w:r>
    </w:p>
    <w:bookmarkEnd w:id="45"/>
    <w:bookmarkEnd w:id="46"/>
    <w:bookmarkStart w:id="51" w:name="whole-tree-and-ecosystem-ecology"/>
    <w:p>
      <w:pPr>
        <w:pStyle w:val="Heading2"/>
      </w:pPr>
      <w:r>
        <w:t xml:space="preserve">Whole-tree and ecosystem ecology</w:t>
      </w:r>
    </w:p>
    <w:p>
      <w:pPr>
        <w:pStyle w:val="FirstParagraph"/>
      </w:pPr>
      <w:r>
        <w:rPr>
          <w:bCs/>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Cs/>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and height, all of which scale with DBH</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root growth and allocation to root-associated microorganisms, reproduction, defense, and storage of non-structural carbohydrates (NSCs).</w:t>
      </w:r>
      <w:r>
        <w:t xml:space="preserve"> </w:t>
      </w:r>
      <w:r>
        <w:t xml:space="preserve">Within a stand, woody growth rates , measured as radial stem growth or biomass increment, generally increase with tree size</w:t>
      </w:r>
      <w:r>
        <w:t xml:space="preserve"> </w:t>
      </w:r>
      <w:r>
        <w:t xml:space="preserve">(e.g., Muller-Landau</w:t>
      </w:r>
      <w:r>
        <w:t xml:space="preserve"> </w:t>
      </w:r>
      <w:r>
        <w:rPr>
          <w:iCs/>
          <w:i/>
        </w:rPr>
        <w:t xml:space="preserve">et al.</w:t>
      </w:r>
      <w:r>
        <w:t xml:space="preserve">, 2006, Stephenson et al. 2014)</w:t>
      </w:r>
      <w:r>
        <w:t xml:space="preserve">. NSC reserves also increase with tree size, such that larger trees have relatively more buffer against biological and biophysical stressors</w:t>
      </w:r>
      <w:r>
        <w:t xml:space="preserve"> </w:t>
      </w:r>
      <w:r>
        <w:t xml:space="preserve">(Niinemets, 2010)</w:t>
      </w:r>
      <w:r>
        <w:t xml:space="preserve">.</w:t>
      </w:r>
    </w:p>
    <w:p>
      <w:pPr>
        <w:pStyle w:val="BodyText"/>
      </w:pPr>
      <w:r>
        <w:rPr>
          <w:bCs/>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Cs/>
          <w:i/>
        </w:rPr>
        <w:t xml:space="preserve">et al.</w:t>
      </w:r>
      <w:r>
        <w:t xml:space="preserve">, 2018; Garcia</w:t>
      </w:r>
      <w:r>
        <w:t xml:space="preserve"> </w:t>
      </w:r>
      <w:r>
        <w:rPr>
          <w:iCs/>
          <w:i/>
        </w:rPr>
        <w:t xml:space="preserve">et al.</w:t>
      </w:r>
      <w:r>
        <w:t xml:space="preserve">, 2021;</w:t>
      </w:r>
      <w:r>
        <w:t xml:space="preserve"> </w:t>
      </w:r>
      <w:r>
        <w:rPr>
          <w:bCs/>
          <w:b/>
        </w:rPr>
        <w:t xml:space="preserve">chitra-tarakHydraulicallyvulnerableTreesSurvive2021?</w:t>
      </w:r>
      <w:r>
        <w:t xml:space="preserve">)</w:t>
      </w:r>
      <w:r>
        <w:t xml:space="preserve"> </w:t>
      </w:r>
      <w:r>
        <w:t xml:space="preserve">and lower capacity to adjust traits related to carbon metabolism to drought</w:t>
      </w:r>
      <w:r>
        <w:t xml:space="preserve"> </w:t>
      </w:r>
      <w:r>
        <w:t xml:space="preserve">(Bartholomew</w:t>
      </w:r>
      <w:r>
        <w:t xml:space="preserve"> </w:t>
      </w:r>
      <w:r>
        <w:rPr>
          <w:iCs/>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 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Cs/>
          <w:b/>
        </w:rPr>
        <w:t xml:space="preserve">Fig. 4</w:t>
      </w:r>
      <w:r>
        <w:t xml:space="preserve">,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disurbed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 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this pattern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2021)</w:t>
      </w:r>
      <w:r>
        <w:t xml:space="preserve">.</w:t>
      </w:r>
      <w:r>
        <w:t xml:space="preserve"> </w:t>
      </w:r>
      <w:r>
        <w:t xml:space="preserve">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C and water flux</w:t>
      </w:r>
    </w:p>
    <w:p>
      <w:pPr>
        <w:pStyle w:val="FirstParagraph"/>
      </w:pPr>
      <w:r>
        <w:rPr>
          <w:bCs/>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 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 In terms of C cycling, it has been estimated that canopy strata contribute</w:t>
      </w:r>
      <w:r>
        <w:t xml:space="preserve"> </w:t>
      </w:r>
      <m:oMath>
        <m:r>
          <m:rPr>
            <m:sty m:val="p"/>
          </m:rPr>
          <m:t>≥</m:t>
        </m:r>
      </m:oMath>
      <w:r>
        <w:t xml:space="preserve"> </w:t>
      </w:r>
      <w:r>
        <w:t xml:space="preserve">64% of net daytime</w:t>
      </w:r>
      <w:r>
        <w:t xml:space="preserve"> </w:t>
      </w:r>
      <w:r>
        <w:rPr>
          <w:vertAlign w:val="subscript"/>
        </w:rPr>
        <w:t xml:space="preserve">CO</w:t>
      </w:r>
      <w:r>
        <w:t xml:space="preserve">2~ 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 ANPPwoody and Mwoody across 25 globally distributed forests</w:t>
      </w:r>
      <w:r>
        <w:t xml:space="preserve"> </w:t>
      </w:r>
      <w:r>
        <w:t xml:space="preserve">(Fig. 5b,</w:t>
      </w:r>
      <w:r>
        <w:t xml:space="preserve"> </w:t>
      </w:r>
      <w:r>
        <w:rPr>
          <w:bCs/>
          <w:b/>
        </w:rPr>
        <w:t xml:space="preserve">piponiot_sizerelated_inreview?</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42 tropical forests from (piponiot_sizerelated_in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w:t>
      </w:r>
      <w:r>
        <w:t xml:space="preserve"> </w:t>
      </w:r>
      <w:r>
        <w:t xml:space="preserve">Vertical partitioning of (a) evapotranspiration and (b) C fluxes in tropical forests. Panel (a) is from</w:t>
      </w:r>
      <w:r>
        <w:t xml:space="preserve"> </w:t>
      </w:r>
      <w:r>
        <w:t xml:space="preserve">Kunert</w:t>
      </w:r>
      <w:r>
        <w:t xml:space="preserve"> </w:t>
      </w:r>
      <w:r>
        <w:rPr>
          <w:iCs/>
          <w:i/>
        </w:rPr>
        <w:t xml:space="preserve">et al.</w:t>
      </w:r>
      <w:r>
        <w:t xml:space="preserve"> </w:t>
      </w:r>
      <w:r>
        <w:t xml:space="preserve">(2017)</w:t>
      </w:r>
      <w:r>
        <w:t xml:space="preserve">; panel (b) presents averages for 42 tropical forests from</w:t>
      </w:r>
      <w:r>
        <w:t xml:space="preserve"> </w:t>
      </w:r>
      <w:r>
        <w:t xml:space="preserve">(</w:t>
      </w:r>
      <w:r>
        <w:rPr>
          <w:bCs/>
          <w:b/>
        </w:rPr>
        <w:t xml:space="preserve">piponiot_sizerelated_inreview?</w:t>
      </w:r>
      <w:r>
        <w:t xml:space="preserve">)</w:t>
      </w:r>
      <w:r>
        <w:t xml:space="preserve">.</w:t>
      </w:r>
    </w:p>
    <w:p>
      <w:pPr>
        <w:pStyle w:val="BodyText"/>
      </w:pPr>
      <w:r>
        <w:rPr>
          <w:bCs/>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sensitive to high temperatures– at least under conditions of moderate to high VPD</w:t>
      </w:r>
      <w:r>
        <w:t xml:space="preserve"> </w:t>
      </w:r>
      <w:r>
        <w:t xml:space="preserve">(Grossiord</w:t>
      </w:r>
      <w:r>
        <w:t xml:space="preserve"> </w:t>
      </w:r>
      <w:r>
        <w:rPr>
          <w:iCs/>
          <w:i/>
        </w:rPr>
        <w:t xml:space="preserve">et al.</w:t>
      </w:r>
      <w:r>
        <w:t xml:space="preserve">, 2020)</w:t>
      </w:r>
      <w:r>
        <w:t xml:space="preserve">. Further, increases in canopy</w:t>
      </w:r>
      <w:r>
        <w:t xml:space="preserve"> </w:t>
      </w:r>
      <m:oMath>
        <m:sSub>
          <m:e>
            <m:r>
              <m:t>T</m:t>
            </m:r>
          </m:e>
          <m:sub>
            <m:r>
              <m:t>l</m:t>
            </m:r>
            <m:r>
              <m:t>e</m:t>
            </m:r>
            <m:r>
              <m:t>a</m:t>
            </m:r>
            <m:r>
              <m:t>f</m:t>
            </m:r>
          </m:sub>
        </m:sSub>
      </m:oMath>
      <w:r>
        <w:t xml:space="preserve"> </w:t>
      </w:r>
      <w:r>
        <w:t xml:space="preserve">are also shown to reduce forest GPP in the tropics</w:t>
      </w:r>
      <w:r>
        <w:t xml:space="preserve"> </w:t>
      </w:r>
      <w:r>
        <w:t xml:space="preserve">(Pau</w:t>
      </w:r>
      <w:r>
        <w:t xml:space="preserve"> </w:t>
      </w:r>
      <w:r>
        <w:rPr>
          <w:iCs/>
          <w:i/>
        </w:rPr>
        <w:t xml:space="preserve">et al.</w:t>
      </w:r>
      <w:r>
        <w:t xml:space="preserve">, 2018)</w:t>
      </w:r>
      <w:r>
        <w:t xml:space="preserve">. 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50"/>
    <w:bookmarkEnd w:id="51"/>
    <w:bookmarkStart w:id="52" w:name="implications"/>
    <w:p>
      <w:pPr>
        <w:pStyle w:val="Heading2"/>
      </w:pPr>
      <w:r>
        <w:t xml:space="preserve">Implications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2"/>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Warming impacts forests, from leaf metabolism to whole forest structure. Leaf level</w:t>
      </w:r>
      <w:r>
        <w:t xml:space="preserve"> </w:t>
      </w:r>
      <m:oMath>
        <m:sSub>
          <m:e>
            <m:r>
              <m:t>T</m:t>
            </m:r>
          </m:e>
          <m:sub>
            <m:r>
              <m:t>o</m:t>
            </m:r>
            <m:r>
              <m:t>p</m:t>
            </m:r>
            <m:r>
              <m:t>t</m:t>
            </m:r>
          </m:sub>
        </m:sSub>
      </m:oMath>
      <w:r>
        <w:t xml:space="preserve"> </w:t>
      </w:r>
      <w:r>
        <w:t xml:space="preserve">is closely related ecosystem</w:t>
      </w:r>
      <w:r>
        <w:t xml:space="preserve"> </w:t>
      </w:r>
      <m:oMath>
        <m:sSub>
          <m:e>
            <m:r>
              <m:t>T</m:t>
            </m:r>
          </m:e>
          <m:sub>
            <m:r>
              <m:t>o</m:t>
            </m:r>
            <m:r>
              <m:t>p</m:t>
            </m:r>
            <m:r>
              <m:t>t</m:t>
            </m:r>
          </m:sub>
        </m:sSub>
      </m:oMath>
      <w:r>
        <w:t xml:space="preserve">. Temperature limitations to leaf processes, such as VPD and gs-limitation, can modify ecosystem</w:t>
      </w:r>
      <w:r>
        <w:t xml:space="preserve"> </w:t>
      </w:r>
      <m:oMath>
        <m:sSub>
          <m:e>
            <m:r>
              <m:t>T</m:t>
            </m:r>
          </m:e>
          <m:sub>
            <m:r>
              <m:t>o</m:t>
            </m:r>
            <m:r>
              <m:t>p</m:t>
            </m:r>
            <m:r>
              <m:t>t</m:t>
            </m:r>
          </m:sub>
        </m:sSub>
      </m:oMath>
      <w:r>
        <w:t xml:space="preserve"> </w:t>
      </w:r>
      <w:r>
        <w:t xml:space="preserve">if species do not acclimate, resulting in reduced carbon sequestration</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2021a)</w:t>
      </w:r>
      <w:r>
        <w:t xml:space="preserve">.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 Exposed canopies are likely most vulnerable, as current growing season temperatures are equal to, or higher than photosynthetic optima of temperature and tropical forests</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2019b; Huang</w:t>
      </w:r>
      <w:r>
        <w:t xml:space="preserve"> </w:t>
      </w:r>
      <w:r>
        <w:rPr>
          <w:iCs/>
          <w:i/>
        </w:rPr>
        <w:t xml:space="preserve">et al.</w:t>
      </w:r>
      <w:r>
        <w:t xml:space="preserve">, 2019)</w:t>
      </w:r>
      <w:r>
        <w:t xml:space="preserve">, and leaf temperatures may approach lethal temperatures</w:t>
      </w:r>
      <w:r>
        <w:t xml:space="preserve"> </w:t>
      </w:r>
      <w:r>
        <w:t xml:space="preserve">(e.g., O’Sullivan</w:t>
      </w:r>
      <w:r>
        <w:t xml:space="preserve"> </w:t>
      </w:r>
      <w:r>
        <w:rPr>
          <w:iCs/>
          <w:i/>
        </w:rPr>
        <w:t xml:space="preserve">et al.</w:t>
      </w:r>
      <w:r>
        <w:t xml:space="preserve">, 2017; Tiwari</w:t>
      </w:r>
      <w:r>
        <w:t xml:space="preserve"> </w:t>
      </w:r>
      <w:r>
        <w:rPr>
          <w:iCs/>
          <w:i/>
        </w:rPr>
        <w:t xml:space="preserve">et al.</w:t>
      </w:r>
      <w:r>
        <w:t xml:space="preserve">, 2021)</w:t>
      </w:r>
      <w:r>
        <w:t xml:space="preserve">. 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 especially if RH in the understory does not inhibit transpirational cooling. Thermal limits are especially narrow in tropical and mid-latitudes forests</w:t>
      </w:r>
      <w:r>
        <w:t xml:space="preserve"> </w:t>
      </w:r>
      <w:r>
        <w:t xml:space="preserve">(O’Sullivan</w:t>
      </w:r>
      <w:r>
        <w:t xml:space="preserve"> </w:t>
      </w:r>
      <w:r>
        <w:rPr>
          <w:iCs/>
          <w:i/>
        </w:rPr>
        <w:t xml:space="preserve">et al.</w:t>
      </w:r>
      <w:r>
        <w:t xml:space="preserve">, 2017)</w:t>
      </w:r>
      <w:r>
        <w:t xml:space="preserve">. A daytime temperature threshold of 32 degrees C has been suggested for long term climate sensitivity of global tropical forests, where reduced growth, and increased drought and tree mortality will lead to increased carbon source than sink</w:t>
      </w:r>
      <w:r>
        <w:t xml:space="preserve"> </w:t>
      </w:r>
      <w:r>
        <w:t xml:space="preserve">(Sullivan</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 Canopy disturbance (see next section) along with a trend towards younger forests and again reduced tree growth associated with warming</w:t>
      </w:r>
      <w:r>
        <w:t xml:space="preserve"> </w:t>
      </w:r>
      <w:r>
        <w:t xml:space="preserve">(McDowell</w:t>
      </w:r>
      <w:r>
        <w:t xml:space="preserve"> </w:t>
      </w:r>
      <w:r>
        <w:rPr>
          <w:iCs/>
          <w:i/>
        </w:rPr>
        <w:t xml:space="preserve">et al.</w:t>
      </w:r>
      <w:r>
        <w:t xml:space="preserve">, 2020)</w:t>
      </w:r>
      <w:r>
        <w:t xml:space="preserve"> </w:t>
      </w:r>
      <w:r>
        <w:t xml:space="preserve">poses an increasing threat to the biodiversity of microrefugia that are otherwise buffered from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p>
    <w:bookmarkEnd w:id="53"/>
    <w:bookmarkStart w:id="54" w:name="canopy-disturbance"/>
    <w:p>
      <w:pPr>
        <w:pStyle w:val="Heading3"/>
      </w:pPr>
      <w:r>
        <w:t xml:space="preserve">Canopy disturbance</w:t>
      </w:r>
    </w:p>
    <w:p>
      <w:pPr>
        <w:pStyle w:val="FirstParagraph"/>
      </w:pPr>
      <w:r>
        <w:t xml:space="preserve">Canopies are crucial to microclimatic stratification, as they buffer several aspects of forest microenvironments</w:t>
      </w:r>
      <w:r>
        <w:t xml:space="preserve"> </w:t>
      </w:r>
      <w:r>
        <w:t xml:space="preserve">(Figs 1-2, Zellweger</w:t>
      </w:r>
      <w:r>
        <w:t xml:space="preserve"> </w:t>
      </w:r>
      <w:r>
        <w:rPr>
          <w:iCs/>
          <w:i/>
        </w:rPr>
        <w:t xml:space="preserve">et al.</w:t>
      </w:r>
      <w:r>
        <w:t xml:space="preserve">, 2019)</w:t>
      </w:r>
      <w:r>
        <w:t xml:space="preserve">, particularly in wetter environments with dense canopies</w:t>
      </w:r>
      <w:r>
        <w:t xml:space="preserve"> </w:t>
      </w:r>
      <w:r>
        <w:t xml:space="preserve">(Davis</w:t>
      </w:r>
      <w:r>
        <w:t xml:space="preserve"> </w:t>
      </w:r>
      <w:r>
        <w:rPr>
          <w:iCs/>
          <w:i/>
        </w:rPr>
        <w:t xml:space="preserve">et al.</w:t>
      </w:r>
      <w:r>
        <w:t xml:space="preserve">, 2019a)</w:t>
      </w:r>
      <w:r>
        <w:t xml:space="preserve">. Severe droughts and rising temperatures place canopies at risk, as larger trees tend to suffer more during droughts</w:t>
      </w:r>
      <w:r>
        <w:t xml:space="preserve"> </w:t>
      </w:r>
      <w:r>
        <w:t xml:space="preserve">(Bennett</w:t>
      </w:r>
      <w:r>
        <w:t xml:space="preserve"> </w:t>
      </w:r>
      <w:r>
        <w:rPr>
          <w:iCs/>
          <w:i/>
        </w:rPr>
        <w:t xml:space="preserve">et al.</w:t>
      </w:r>
      <w:r>
        <w:t xml:space="preserve">, 2015)</w:t>
      </w:r>
      <w:r>
        <w:t xml:space="preserve">. The disproportionate impact of disturbance on large trees holds for other types of disturbance, including forest fragmentation and logging [</w:t>
      </w:r>
      <w:r>
        <w:t xml:space="preserve">(Laurance</w:t>
      </w:r>
      <w:r>
        <w:t xml:space="preserve"> </w:t>
      </w:r>
      <w:r>
        <w:rPr>
          <w:iCs/>
          <w:i/>
        </w:rPr>
        <w:t xml:space="preserve">et al.</w:t>
      </w:r>
      <w:r>
        <w:t xml:space="preserve">, 2006; Miller</w:t>
      </w:r>
      <w:r>
        <w:t xml:space="preserve"> </w:t>
      </w:r>
      <w:r>
        <w:rPr>
          <w:iCs/>
          <w:i/>
        </w:rPr>
        <w:t xml:space="preserve">et al.</w:t>
      </w:r>
      <w:r>
        <w:t xml:space="preserve">, 2011)</w:t>
      </w:r>
      <w:r>
        <w:t xml:space="preserve">, although fire tends to predominantly affect smaller trees</w:t>
      </w:r>
      <w:r>
        <w:t xml:space="preserve"> </w:t>
      </w:r>
      <w:r>
        <w:t xml:space="preserve">(Brando, 2019)</w:t>
      </w:r>
      <w:r>
        <w:t xml:space="preserve">. 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p>
    <w:p>
      <w:pPr>
        <w:pStyle w:val="BodyText"/>
      </w:pPr>
      <w:r>
        <w:t xml:space="preserve">In general, disturbances (e.g., drought, fire, fragmentation, and logging) reduce canopy cover,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 This shift to hotter and drier microclimates often makes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 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Variation in resistance and resilience among forests may drive different trajectories in the face of global climate change. For example,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2021b)</w:t>
      </w:r>
      <w:r>
        <w:t xml:space="preserve">. Species with smaller leaves and larger gs 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 </w:t>
      </w:r>
      <w:r>
        <w:t xml:space="preserve">and isoprene emitting species will have a selective advantage in a warming world</w:t>
      </w:r>
      <w:r>
        <w:t xml:space="preserve"> </w:t>
      </w:r>
      <w:r>
        <w:t xml:space="preserve">(Taylor</w:t>
      </w:r>
      <w:r>
        <w:t xml:space="preserve"> </w:t>
      </w:r>
      <w:r>
        <w:rPr>
          <w:iCs/>
          <w:i/>
        </w:rPr>
        <w:t xml:space="preserve">et al.</w:t>
      </w:r>
      <w:r>
        <w:t xml:space="preserve">, 2019)</w:t>
      </w:r>
      <w:r>
        <w:t xml:space="preserve">. Temperature acclimation</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will also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4"/>
    <w:bookmarkEnd w:id="55"/>
    <w:bookmarkStart w:id="58" w:name="scaling-across-space-and-time"/>
    <w:p>
      <w:pPr>
        <w:pStyle w:val="Heading2"/>
      </w:pPr>
      <w:r>
        <w:t xml:space="preserve">Scaling across space and time</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 Dynamic global vegetation models (DGVMs), which comprise the land surface models in ESMs,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 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 The computational middle-ground to representing vertical structure in DVGMs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 In addition, this review finds that, although larger trees face disproportionate stress during drought, understory trees have fewer cooling mechanisms and may also be stifled under hot, humid conditions.</w:t>
      </w:r>
      <w:r>
        <w:t xml:space="preserve"> </w:t>
      </w:r>
      <w:r>
        <w:rPr>
          <w:bCs/>
          <w:b/>
        </w:rP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w:t>
      </w:r>
      <w:r>
        <w:t xml:space="preserve"> </w:t>
      </w:r>
      <w:r>
        <w:t xml:space="preserve">(e.g., Rollinson</w:t>
      </w:r>
      <w:r>
        <w:t xml:space="preserve"> </w:t>
      </w:r>
      <w:r>
        <w:rPr>
          <w:iCs/>
          <w:i/>
        </w:rPr>
        <w:t xml:space="preserve">et al.</w:t>
      </w:r>
      <w:r>
        <w:t xml:space="preserve">, 2020)</w:t>
      </w:r>
      <w:r>
        <w:t xml:space="preserve">.</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2019a)</w:t>
      </w:r>
      <w:r>
        <w:t xml:space="preserve"> </w:t>
      </w:r>
      <w:r>
        <w:t xml:space="preserve">and functions (e.g., thermal responses, as we present in this paper). 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pPr>
        <w:pStyle w:val="CaptionedFigure"/>
      </w:pPr>
      <w:r>
        <w:drawing>
          <wp:inline>
            <wp:extent cx="5334000" cy="2162663"/>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6"/>
                    <a:stretch>
                      <a:fillRect/>
                    </a:stretch>
                  </pic:blipFill>
                  <pic:spPr bwMode="auto">
                    <a:xfrm>
                      <a:off x="0" y="0"/>
                      <a:ext cx="5334000" cy="2162663"/>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p>
    <w:p>
      <w:pPr>
        <w:pStyle w:val="BodyText"/>
      </w:pPr>
      <w:r>
        <w:rPr>
          <w:bCs/>
          <w:b/>
        </w:rPr>
        <w:t xml:space="preserve">Scaling in situ data with remote sensing</w:t>
      </w:r>
    </w:p>
    <w:p>
      <w:pPr>
        <w:pStyle w:val="BodyText"/>
      </w:pPr>
      <w:r>
        <w:t xml:space="preserve">Remote sensing data provide a valuable means to scale between in situ observations and DGVMs. Specifically, the increasing availability of airborne and spaceborne LiDAR and thermal remote sensing data offer a promising opportunity for mapping vertical thermal gradients in combination with vegetation structure at locations with in situ data and across larger landscapes (Fig. 6). Airborne and spaceborne lidar, as well as terrestrial laser scanning data yield detailed 3D reconstructions of whole tree and forest structure. 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FLIR cameras.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 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 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 in review)</w:t>
      </w:r>
      <w:r>
        <w:t xml:space="preserve">.</w:t>
      </w:r>
      <w:r>
        <w:t xml:space="preserve"> </w:t>
      </w:r>
      <w:r>
        <w:t xml:space="preserve">(Pau</w:t>
      </w:r>
      <w:r>
        <w:t xml:space="preserve"> </w:t>
      </w:r>
      <w:r>
        <w:rPr>
          <w:iCs/>
          <w:i/>
        </w:rPr>
        <w:t xml:space="preserve">et al.</w:t>
      </w:r>
      <w:r>
        <w:t xml:space="preserve">, 2018)</w:t>
      </w:r>
      <w:r>
        <w:t xml:space="preserve"> </w:t>
      </w:r>
      <w:r>
        <w:t xml:space="preserve">used data from a tower-based FLIR camera in combination with eddy-covariance data and found that tropical forest canopy temperatures were more strongly associated with GPP than air temperatures or VPD. In a savanna system in the western U.S.,</w:t>
      </w:r>
      <w:r>
        <w:t xml:space="preserve"> </w:t>
      </w:r>
      <w:r>
        <w:t xml:space="preserve">(Johnston</w:t>
      </w:r>
      <w:r>
        <w:t xml:space="preserve"> </w:t>
      </w:r>
      <w:r>
        <w:rPr>
          <w:iCs/>
          <w:i/>
        </w:rPr>
        <w:t xml:space="preserve">et al.</w:t>
      </w:r>
      <w:r>
        <w:t xml:space="preserve">, 2020 in review)</w:t>
      </w:r>
      <w:r>
        <w:t xml:space="preserve"> </w:t>
      </w:r>
      <w:r>
        <w:t xml:space="preserve">found significant vertical variation in plant temperature, with warmer temperatures in the understory compared to the top of the blue oak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The preponderance of available data suggest that while large canopy trees are the most vulnerable to warming when water is limited,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acknowledgements"/>
    <w:p>
      <w:pPr>
        <w:pStyle w:val="Heading2"/>
      </w:pPr>
      <w:r>
        <w:t xml:space="preserve">Acknowledgements</w:t>
      </w:r>
    </w:p>
    <w:p>
      <w:pPr>
        <w:pStyle w:val="FirstParagraph"/>
      </w:pPr>
      <w:r>
        <w:t xml:space="preserve">Thanks to …., the ForestGEO Ecosystems &amp; Climate lab at SCBI for helpful discussion.</w:t>
      </w:r>
      <w:r>
        <w:t xml:space="preserve"> </w:t>
      </w:r>
      <w:r>
        <w:t xml:space="preserve">Funding was provided by the Smithsonian Institution, ….</w:t>
      </w:r>
    </w:p>
    <w:bookmarkEnd w:id="60"/>
    <w:bookmarkStart w:id="61"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1"/>
    <w:bookmarkStart w:id="328" w:name="references"/>
    <w:p>
      <w:pPr>
        <w:pStyle w:val="Heading2"/>
      </w:pPr>
      <w:r>
        <w:t xml:space="preserve">References</w:t>
      </w:r>
    </w:p>
    <w:bookmarkStart w:id="327" w:name="refs"/>
    <w:bookmarkStart w:id="62"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2"/>
    <w:bookmarkStart w:id="6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3"/>
    <w:bookmarkStart w:id="6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4"/>
    <w:bookmarkStart w:id="65"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5"/>
    <w:bookmarkStart w:id="6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6"/>
    <w:bookmarkStart w:id="6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7"/>
    <w:bookmarkStart w:id="6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8"/>
    <w:bookmarkStart w:id="69"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69"/>
    <w:bookmarkStart w:id="70"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0"/>
    <w:bookmarkStart w:id="71"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1"/>
    <w:bookmarkStart w:id="72"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2"/>
    <w:bookmarkStart w:id="73"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3"/>
    <w:bookmarkStart w:id="74"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4"/>
    <w:bookmarkStart w:id="75"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5"/>
    <w:bookmarkStart w:id="76"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6"/>
    <w:bookmarkStart w:id="77"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7"/>
    <w:bookmarkStart w:id="78"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78"/>
    <w:bookmarkStart w:id="79"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79"/>
    <w:bookmarkStart w:id="80"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0"/>
    <w:bookmarkStart w:id="81"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1"/>
    <w:bookmarkStart w:id="82"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2021a</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2"/>
    <w:bookmarkStart w:id="83"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2021b</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3"/>
    <w:bookmarkStart w:id="8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4"/>
    <w:bookmarkStart w:id="8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5"/>
    <w:bookmarkStart w:id="8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6"/>
    <w:bookmarkStart w:id="8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7"/>
    <w:bookmarkStart w:id="8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88"/>
    <w:bookmarkStart w:id="8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89"/>
    <w:bookmarkStart w:id="90" w:name="ref-brandoDroughtsWildfiresForest2019"/>
    <w:p>
      <w:pPr>
        <w:pStyle w:val="Bibliography"/>
      </w:pPr>
      <w:r>
        <w:rPr>
          <w:bCs/>
          <w:b/>
          <w:bCs/>
          <w:b/>
        </w:rPr>
        <w:t xml:space="preserve">Brando PM</w:t>
      </w:r>
      <w:r>
        <w:t xml:space="preserve">.</w:t>
      </w:r>
      <w:r>
        <w:t xml:space="preserve"> </w:t>
      </w:r>
      <w:r>
        <w:rPr>
          <w:bCs/>
          <w:b/>
        </w:rPr>
        <w:t xml:space="preserve">2019</w:t>
      </w:r>
      <w:r>
        <w:t xml:space="preserve">. Droughts,</w:t>
      </w:r>
      <w:r>
        <w:t xml:space="preserve"> </w:t>
      </w:r>
      <w:r>
        <w:t xml:space="preserve">Wildfires</w:t>
      </w:r>
      <w:r>
        <w:t xml:space="preserve">, and</w:t>
      </w:r>
      <w:r>
        <w:t xml:space="preserve"> </w:t>
      </w:r>
      <w:r>
        <w:t xml:space="preserve">Forest Carbon Cycling</w:t>
      </w:r>
      <w:r>
        <w:t xml:space="preserve">:</w:t>
      </w:r>
      <w:r>
        <w:t xml:space="preserve"> </w:t>
      </w:r>
      <w:r>
        <w:t xml:space="preserve">A Pantropical Synthesis</w:t>
      </w:r>
      <w:r>
        <w:t xml:space="preserve"> </w:t>
      </w:r>
      <w:r>
        <w:t xml:space="preserve">|</w:t>
      </w:r>
      <w:r>
        <w:t xml:space="preserve"> </w:t>
      </w:r>
      <w:r>
        <w:t xml:space="preserve">Annual Review</w:t>
      </w:r>
      <w:r>
        <w:t xml:space="preserve"> </w:t>
      </w:r>
      <w:r>
        <w:t xml:space="preserve">of</w:t>
      </w:r>
      <w:r>
        <w:t xml:space="preserve"> </w:t>
      </w:r>
      <w:r>
        <w:t xml:space="preserve">Earth</w:t>
      </w:r>
      <w:r>
        <w:t xml:space="preserve"> </w:t>
      </w:r>
      <w:r>
        <w:t xml:space="preserve">and</w:t>
      </w:r>
      <w:r>
        <w:t xml:space="preserve"> </w:t>
      </w:r>
      <w:r>
        <w:t xml:space="preserve">Planetary Sciences</w:t>
      </w:r>
      <w:r>
        <w:t xml:space="preserve">.</w:t>
      </w:r>
    </w:p>
    <w:bookmarkEnd w:id="90"/>
    <w:bookmarkStart w:id="91"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1"/>
    <w:bookmarkStart w:id="92"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2"/>
    <w:bookmarkStart w:id="93"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93"/>
    <w:bookmarkStart w:id="9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4"/>
    <w:bookmarkStart w:id="9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5"/>
    <w:bookmarkStart w:id="96"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8"/>
    <w:bookmarkStart w:id="9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9"/>
    <w:bookmarkStart w:id="10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0"/>
    <w:bookmarkStart w:id="10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1"/>
    <w:bookmarkStart w:id="10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2"/>
    <w:bookmarkStart w:id="10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3"/>
    <w:bookmarkStart w:id="10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4"/>
    <w:bookmarkStart w:id="10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5"/>
    <w:bookmarkStart w:id="10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6"/>
    <w:bookmarkStart w:id="10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7"/>
    <w:bookmarkStart w:id="10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8"/>
    <w:bookmarkStart w:id="10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9"/>
    <w:bookmarkStart w:id="110"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0"/>
    <w:bookmarkStart w:id="111"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1"/>
    <w:bookmarkStart w:id="112"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2"/>
    <w:bookmarkStart w:id="113"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3"/>
    <w:bookmarkStart w:id="11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4"/>
    <w:bookmarkStart w:id="11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5"/>
    <w:bookmarkStart w:id="11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16"/>
    <w:bookmarkStart w:id="11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17"/>
    <w:bookmarkStart w:id="11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18"/>
    <w:bookmarkStart w:id="119"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19"/>
    <w:bookmarkStart w:id="120"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0"/>
    <w:bookmarkStart w:id="121"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1"/>
    <w:bookmarkStart w:id="122"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2"/>
    <w:bookmarkStart w:id="123"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3"/>
    <w:bookmarkStart w:id="124"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4"/>
    <w:bookmarkStart w:id="12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5"/>
    <w:bookmarkStart w:id="12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6"/>
    <w:bookmarkStart w:id="12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27"/>
    <w:bookmarkStart w:id="12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28"/>
    <w:bookmarkStart w:id="12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29"/>
    <w:bookmarkStart w:id="13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0"/>
    <w:bookmarkStart w:id="13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1"/>
    <w:bookmarkStart w:id="13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2"/>
    <w:bookmarkStart w:id="13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3"/>
    <w:bookmarkStart w:id="13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4"/>
    <w:bookmarkStart w:id="13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5"/>
    <w:bookmarkStart w:id="13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6"/>
    <w:bookmarkStart w:id="13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37"/>
    <w:bookmarkStart w:id="138"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38"/>
    <w:bookmarkStart w:id="139"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39"/>
    <w:bookmarkStart w:id="140"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0"/>
    <w:bookmarkStart w:id="141"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1"/>
    <w:bookmarkStart w:id="14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2"/>
    <w:bookmarkStart w:id="14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3"/>
    <w:bookmarkStart w:id="144"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44"/>
    <w:bookmarkStart w:id="14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5"/>
    <w:bookmarkStart w:id="14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46"/>
    <w:bookmarkStart w:id="14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47"/>
    <w:bookmarkStart w:id="14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48"/>
    <w:bookmarkStart w:id="14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49"/>
    <w:bookmarkStart w:id="150"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0"/>
    <w:bookmarkStart w:id="151"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1"/>
    <w:bookmarkStart w:id="152"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2"/>
    <w:bookmarkStart w:id="153"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3"/>
    <w:bookmarkStart w:id="15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4"/>
    <w:bookmarkStart w:id="15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5"/>
    <w:bookmarkStart w:id="15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56"/>
    <w:bookmarkStart w:id="15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57"/>
    <w:bookmarkStart w:id="158"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58"/>
    <w:bookmarkStart w:id="159" w:name="ref-ipccClimateChangeWidespread2021"/>
    <w:p>
      <w:pPr>
        <w:pStyle w:val="Bibliography"/>
      </w:pPr>
      <w:r>
        <w:rPr>
          <w:bCs/>
          <w:b/>
          <w:bCs/>
          <w:b/>
        </w:rPr>
        <w:t xml:space="preserve">IPCC</w:t>
      </w:r>
      <w:r>
        <w:t xml:space="preserve">.</w:t>
      </w:r>
      <w:r>
        <w:t xml:space="preserve"> </w:t>
      </w:r>
      <w:r>
        <w:rPr>
          <w:bCs/>
          <w:b/>
        </w:rPr>
        <w:t xml:space="preserve">2021</w:t>
      </w:r>
      <w:r>
        <w:t xml:space="preserve">. Climate change widespread, rapid, and intensifying –</w:t>
      </w:r>
      <w:r>
        <w:t xml:space="preserve"> </w:t>
      </w:r>
      <w:r>
        <w:t xml:space="preserve">IPCC</w:t>
      </w:r>
      <w:r>
        <w:t xml:space="preserve"> </w:t>
      </w:r>
      <w:r>
        <w:t xml:space="preserve">—</w:t>
      </w:r>
      <w:r>
        <w:t xml:space="preserve"> </w:t>
      </w:r>
      <w:r>
        <w:t xml:space="preserve">IPCC</w:t>
      </w:r>
      <w:r>
        <w:t xml:space="preserve">.</w:t>
      </w:r>
    </w:p>
    <w:bookmarkEnd w:id="159"/>
    <w:bookmarkStart w:id="160"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60"/>
    <w:bookmarkStart w:id="16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1"/>
    <w:bookmarkStart w:id="162"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2"/>
    <w:bookmarkStart w:id="163"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3"/>
    <w:bookmarkStart w:id="164"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64"/>
    <w:bookmarkStart w:id="165"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65"/>
    <w:bookmarkStart w:id="166"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66"/>
    <w:bookmarkStart w:id="167"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67"/>
    <w:bookmarkStart w:id="16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68"/>
    <w:bookmarkStart w:id="169"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69"/>
    <w:bookmarkStart w:id="170"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0"/>
    <w:bookmarkStart w:id="171"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1"/>
    <w:bookmarkStart w:id="172"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2"/>
    <w:bookmarkStart w:id="173"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73"/>
    <w:bookmarkStart w:id="174"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74"/>
    <w:bookmarkStart w:id="17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75"/>
    <w:bookmarkStart w:id="17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2019b</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6"/>
    <w:bookmarkStart w:id="17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2019a</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77"/>
    <w:bookmarkStart w:id="17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78"/>
    <w:bookmarkStart w:id="17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79"/>
    <w:bookmarkStart w:id="180"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0"/>
    <w:bookmarkStart w:id="181"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81"/>
    <w:bookmarkStart w:id="18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82"/>
    <w:bookmarkStart w:id="18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83"/>
    <w:bookmarkStart w:id="18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84"/>
    <w:bookmarkStart w:id="18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85"/>
    <w:bookmarkStart w:id="18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86"/>
    <w:bookmarkStart w:id="18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87"/>
    <w:bookmarkStart w:id="188"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88"/>
    <w:bookmarkStart w:id="189"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89"/>
    <w:bookmarkStart w:id="190"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0"/>
    <w:bookmarkStart w:id="191"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91"/>
    <w:bookmarkStart w:id="192"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92"/>
    <w:bookmarkStart w:id="193"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193"/>
    <w:bookmarkStart w:id="194"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94"/>
    <w:bookmarkStart w:id="195"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95"/>
    <w:bookmarkStart w:id="19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96"/>
    <w:bookmarkStart w:id="197"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97"/>
    <w:bookmarkStart w:id="198"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98"/>
    <w:bookmarkStart w:id="199"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199"/>
    <w:bookmarkStart w:id="200"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0"/>
    <w:bookmarkStart w:id="201"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01"/>
    <w:bookmarkStart w:id="202"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02"/>
    <w:bookmarkStart w:id="20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03"/>
    <w:bookmarkStart w:id="204"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04"/>
    <w:bookmarkStart w:id="20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05"/>
    <w:bookmarkStart w:id="20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06"/>
    <w:bookmarkStart w:id="207"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07"/>
    <w:bookmarkStart w:id="208"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08"/>
    <w:bookmarkStart w:id="209"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09"/>
    <w:bookmarkStart w:id="210"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0"/>
    <w:bookmarkStart w:id="211"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11"/>
    <w:bookmarkStart w:id="21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12"/>
    <w:bookmarkStart w:id="21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13"/>
    <w:bookmarkStart w:id="21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14"/>
    <w:bookmarkStart w:id="21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15"/>
    <w:bookmarkStart w:id="21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16"/>
    <w:bookmarkStart w:id="21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17"/>
    <w:bookmarkStart w:id="21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18"/>
    <w:bookmarkStart w:id="21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19"/>
    <w:bookmarkStart w:id="22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20"/>
    <w:bookmarkStart w:id="22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21"/>
    <w:bookmarkStart w:id="222" w:name="X2a62a2b24cf5d08d26d2b72f4f2d20064113475"/>
    <w:p>
      <w:pPr>
        <w:pStyle w:val="Bibliography"/>
      </w:pPr>
      <w:r>
        <w:rPr>
          <w:bCs/>
          <w:b/>
          <w:bCs/>
          <w:b/>
        </w:rPr>
        <w:t xml:space="preserve">Niinemets Ü</w:t>
      </w:r>
      <w:r>
        <w:t xml:space="preserve">.</w:t>
      </w:r>
      <w:r>
        <w:t xml:space="preserve"> </w:t>
      </w:r>
      <w:r>
        <w:rPr>
          <w:bCs/>
          <w:b/>
        </w:rPr>
        <w:t xml:space="preserve">2007b</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2"/>
    <w:bookmarkStart w:id="223" w:name="Xded14c93cfc3dc1d315ce5b7dc4cb9ced26a4c0"/>
    <w:p>
      <w:pPr>
        <w:pStyle w:val="Bibliography"/>
      </w:pPr>
      <w:r>
        <w:rPr>
          <w:bCs/>
          <w:b/>
          <w:bCs/>
          <w:b/>
        </w:rPr>
        <w:t xml:space="preserve">Niinemets Ü</w:t>
      </w:r>
      <w:r>
        <w:t xml:space="preserve">.</w:t>
      </w:r>
      <w:r>
        <w:t xml:space="preserve"> </w:t>
      </w:r>
      <w:r>
        <w:rPr>
          <w:bCs/>
          <w:b/>
        </w:rPr>
        <w:t xml:space="preserve">2007a</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23"/>
    <w:bookmarkStart w:id="224"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24"/>
    <w:bookmarkStart w:id="22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25"/>
    <w:bookmarkStart w:id="226" w:name="ref-niinemetsEmissionFactorVolatile2010"/>
    <w:p>
      <w:pPr>
        <w:pStyle w:val="Bibliography"/>
      </w:pPr>
      <w:r>
        <w:rPr>
          <w:bCs/>
          <w:b/>
          <w:bCs/>
          <w:b/>
        </w:rPr>
        <w:t xml:space="preserve">Niinemets Ü</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Kuhn U</w:t>
      </w:r>
      <w:r>
        <w:rPr>
          <w:bCs/>
          <w:b/>
        </w:rPr>
        <w:t xml:space="preserve">,</w:t>
      </w:r>
      <w:r>
        <w:rPr>
          <w:bCs/>
          <w:b/>
        </w:rPr>
        <w:t xml:space="preserve"> </w:t>
      </w:r>
      <w:r>
        <w:rPr>
          <w:bCs/>
          <w:b/>
          <w:bCs/>
          <w:b/>
        </w:rPr>
        <w:t xml:space="preserve">Monson RK</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Staudt M</w:t>
      </w:r>
      <w:r>
        <w:t xml:space="preserve">.</w:t>
      </w:r>
      <w:r>
        <w:t xml:space="preserve"> </w:t>
      </w:r>
      <w:r>
        <w:rPr>
          <w:bCs/>
          <w:b/>
        </w:rPr>
        <w:t xml:space="preserve">2010</w:t>
      </w:r>
      <w:r>
        <w:t xml:space="preserve">. The emission factor of volatile isoprenoids: Stress, acclimation, and developmental responses.</w:t>
      </w:r>
      <w:r>
        <w:t xml:space="preserve"> </w:t>
      </w:r>
      <w:r>
        <w:rPr>
          <w:iCs/>
          <w:i/>
        </w:rPr>
        <w:t xml:space="preserve">Biogeosciences</w:t>
      </w:r>
      <w:r>
        <w:t xml:space="preserve"> </w:t>
      </w:r>
      <w:r>
        <w:rPr>
          <w:bCs/>
          <w:b/>
        </w:rPr>
        <w:t xml:space="preserve">7</w:t>
      </w:r>
      <w:r>
        <w:t xml:space="preserve">: 2203–2223.</w:t>
      </w:r>
    </w:p>
    <w:bookmarkEnd w:id="226"/>
    <w:bookmarkStart w:id="22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27"/>
    <w:bookmarkStart w:id="22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28"/>
    <w:bookmarkStart w:id="229"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229"/>
    <w:bookmarkStart w:id="23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0"/>
    <w:bookmarkStart w:id="23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31"/>
    <w:bookmarkStart w:id="23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32"/>
    <w:bookmarkStart w:id="23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33"/>
    <w:bookmarkStart w:id="234"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34"/>
    <w:bookmarkStart w:id="235"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35"/>
    <w:bookmarkStart w:id="236"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36"/>
    <w:bookmarkStart w:id="237"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37"/>
    <w:bookmarkStart w:id="238"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38"/>
    <w:bookmarkStart w:id="239"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39"/>
    <w:bookmarkStart w:id="240"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0"/>
    <w:bookmarkStart w:id="24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41"/>
    <w:bookmarkStart w:id="242"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242"/>
    <w:bookmarkStart w:id="243"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43"/>
    <w:bookmarkStart w:id="244"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44"/>
    <w:bookmarkStart w:id="245"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45"/>
    <w:bookmarkStart w:id="246"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46"/>
    <w:bookmarkStart w:id="24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47"/>
    <w:bookmarkStart w:id="24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48"/>
    <w:bookmarkStart w:id="24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49"/>
    <w:bookmarkStart w:id="25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0"/>
    <w:bookmarkStart w:id="25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51"/>
    <w:bookmarkStart w:id="252"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52"/>
    <w:bookmarkStart w:id="253"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53"/>
    <w:bookmarkStart w:id="25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54"/>
    <w:bookmarkStart w:id="25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5"/>
    <w:bookmarkStart w:id="25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56"/>
    <w:bookmarkStart w:id="25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57"/>
    <w:bookmarkStart w:id="25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58"/>
    <w:bookmarkStart w:id="25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59"/>
    <w:bookmarkStart w:id="26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60"/>
    <w:bookmarkStart w:id="26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61"/>
    <w:bookmarkStart w:id="26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62"/>
    <w:bookmarkStart w:id="26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63"/>
    <w:bookmarkStart w:id="26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64"/>
    <w:bookmarkStart w:id="26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65"/>
    <w:bookmarkStart w:id="26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66"/>
    <w:bookmarkStart w:id="267"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67"/>
    <w:bookmarkStart w:id="268"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68"/>
    <w:bookmarkStart w:id="269"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69"/>
    <w:bookmarkStart w:id="27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70"/>
    <w:bookmarkStart w:id="27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71"/>
    <w:bookmarkStart w:id="27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72"/>
    <w:bookmarkStart w:id="273"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73"/>
    <w:bookmarkStart w:id="274"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74"/>
    <w:bookmarkStart w:id="275"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75"/>
    <w:bookmarkStart w:id="276"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76"/>
    <w:bookmarkStart w:id="277"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77"/>
    <w:bookmarkStart w:id="278"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78"/>
    <w:bookmarkStart w:id="279"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79"/>
    <w:bookmarkStart w:id="280"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80"/>
    <w:bookmarkStart w:id="281"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81"/>
    <w:bookmarkStart w:id="282" w:name="Xe2b8412b8eeb6a0e754b3714d7160edd425159e"/>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de Oliveira 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Figueira M</w:t>
      </w:r>
      <w:r>
        <w:rPr>
          <w:bCs/>
          <w:b/>
        </w:rPr>
        <w:t xml:space="preserve">,</w:t>
      </w:r>
      <w:r>
        <w:rPr>
          <w:bCs/>
          <w:b/>
        </w:rPr>
        <w:t xml:space="preserve"> </w:t>
      </w:r>
      <w:r>
        <w:rPr>
          <w:bCs/>
          <w:b/>
          <w:bCs/>
          <w:b/>
        </w:rPr>
        <w:t xml:space="preserve">de Camargo PB</w:t>
      </w:r>
      <w:r>
        <w:rPr>
          <w:bCs/>
          <w:b/>
        </w:rPr>
        <w:t xml:space="preserve">,</w:t>
      </w:r>
      <w:r>
        <w:rPr>
          <w:bCs/>
          <w:b/>
        </w:rPr>
        <w:t xml:space="preserve"> </w:t>
      </w:r>
      <w:r>
        <w:rPr>
          <w:iCs/>
          <w:i/>
          <w:bCs/>
          <w:b/>
        </w:rPr>
        <w:t xml:space="preserve">et al.</w:t>
      </w:r>
      <w:r>
        <w:t xml:space="preserve"> </w:t>
      </w:r>
      <w:r>
        <w:rPr>
          <w:bCs/>
          <w:b/>
        </w:rPr>
        <w:t xml:space="preserve">2019a</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37.</w:t>
      </w:r>
    </w:p>
    <w:bookmarkEnd w:id="282"/>
    <w:bookmarkStart w:id="283"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2019b</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83"/>
    <w:bookmarkStart w:id="284"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84"/>
    <w:bookmarkStart w:id="285"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85"/>
    <w:bookmarkStart w:id="286"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86"/>
    <w:bookmarkStart w:id="287"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87"/>
    <w:bookmarkStart w:id="288"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88"/>
    <w:bookmarkStart w:id="289"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89"/>
    <w:bookmarkStart w:id="290"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90"/>
    <w:bookmarkStart w:id="291"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291"/>
    <w:bookmarkStart w:id="292"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292"/>
    <w:bookmarkStart w:id="293"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293"/>
    <w:bookmarkStart w:id="294"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294"/>
    <w:bookmarkStart w:id="29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95"/>
    <w:bookmarkStart w:id="29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96"/>
    <w:bookmarkStart w:id="297"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97"/>
    <w:bookmarkStart w:id="29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298"/>
    <w:bookmarkStart w:id="299"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299"/>
    <w:bookmarkStart w:id="300"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00"/>
    <w:bookmarkStart w:id="301"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01"/>
    <w:bookmarkStart w:id="302"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02"/>
    <w:bookmarkStart w:id="30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03"/>
    <w:bookmarkStart w:id="30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04"/>
    <w:bookmarkStart w:id="30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05"/>
    <w:bookmarkStart w:id="30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06"/>
    <w:bookmarkStart w:id="30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07"/>
    <w:bookmarkStart w:id="308"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08"/>
    <w:bookmarkStart w:id="309"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09"/>
    <w:bookmarkStart w:id="310"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10"/>
    <w:bookmarkStart w:id="31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11"/>
    <w:bookmarkStart w:id="31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12"/>
    <w:bookmarkStart w:id="31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13"/>
    <w:bookmarkStart w:id="31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14"/>
    <w:bookmarkStart w:id="31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15"/>
    <w:bookmarkStart w:id="31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16"/>
    <w:bookmarkStart w:id="31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17"/>
    <w:bookmarkStart w:id="318"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18"/>
    <w:bookmarkStart w:id="319"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19"/>
    <w:bookmarkStart w:id="320"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20"/>
    <w:bookmarkStart w:id="321"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21"/>
    <w:bookmarkStart w:id="322"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22"/>
    <w:bookmarkStart w:id="323"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23"/>
    <w:bookmarkStart w:id="324" w:name="ref-zhuPlasticityPhotosyntheticHeat2018"/>
    <w:p>
      <w:pPr>
        <w:pStyle w:val="Bibliography"/>
      </w:pPr>
      <w:r>
        <w:rPr>
          <w:bCs/>
          <w:b/>
          <w:bCs/>
          <w:b/>
        </w:rPr>
        <w:t xml:space="preserve">Zhu L</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Hocart CH</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O’Sullivan OS</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Atkin OK</w:t>
      </w:r>
      <w:r>
        <w:t xml:space="preserve">.</w:t>
      </w:r>
      <w:r>
        <w:t xml:space="preserve"> </w:t>
      </w:r>
      <w:r>
        <w:rPr>
          <w:bCs/>
          <w:b/>
        </w:rPr>
        <w:t xml:space="preserve">2018</w:t>
      </w:r>
      <w:r>
        <w:t xml:space="preserve">. Plasticity of photosynthetic heat tolerance in plants adapted to thermally contrasting biomes.</w:t>
      </w:r>
      <w:r>
        <w:t xml:space="preserve"> </w:t>
      </w:r>
      <w:r>
        <w:rPr>
          <w:iCs/>
          <w:i/>
        </w:rPr>
        <w:t xml:space="preserve">Plant, Cell &amp; Environment</w:t>
      </w:r>
      <w:r>
        <w:t xml:space="preserve"> </w:t>
      </w:r>
      <w:r>
        <w:rPr>
          <w:bCs/>
          <w:b/>
        </w:rPr>
        <w:t xml:space="preserve">41</w:t>
      </w:r>
      <w:r>
        <w:t xml:space="preserve">: 1251–1262.</w:t>
      </w:r>
    </w:p>
    <w:bookmarkEnd w:id="324"/>
    <w:bookmarkStart w:id="32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25"/>
    <w:bookmarkStart w:id="32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26"/>
    <w:bookmarkEnd w:id="327"/>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2021-09-13T09:49:04Z</dcterms:created>
  <dcterms:modified xsi:type="dcterms:W3CDTF">2021-09-13T09:49:04Z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